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F0C3E">
      <w:pPr>
        <w:pStyle w:val="116"/>
        <w:bidi w:val="0"/>
        <w:rPr>
          <w:rFonts w:hint="eastAsia"/>
          <w:lang w:eastAsia="zh-CN"/>
        </w:rPr>
      </w:pPr>
      <w:r>
        <w:rPr>
          <w:rFonts w:hint="default" w:ascii="Times New Roman" w:hAnsi="Times New Roman" w:eastAsia="黑体" w:cs="Times New Roman"/>
          <w:lang w:eastAsia="zh-CN"/>
        </w:rPr>
        <w:t>ICS</w:t>
      </w:r>
      <w:r>
        <w:rPr>
          <w:rFonts w:hint="eastAsia"/>
          <w:lang w:eastAsia="zh-CN"/>
        </w:rPr>
        <w:t> </w:t>
      </w:r>
      <w:r>
        <w:rPr>
          <w:rFonts w:hint="eastAsia"/>
          <w:lang w:eastAsia="zh-CN"/>
        </w:rPr>
        <w:fldChar w:fldCharType="begin">
          <w:ffData>
            <w:name w:val="ICS"/>
            <w:enabled/>
            <w:calcOnExit w:val="0"/>
            <w:helpText w:type="text" w:val="请输入正确的ICS号："/>
            <w:textInput>
              <w:default w:val="点击此处添加ICS号"/>
            </w:textInput>
          </w:ffData>
        </w:fldChar>
      </w:r>
      <w:bookmarkStart w:id="0" w:name="ICS"/>
      <w:r>
        <w:rPr>
          <w:rFonts w:hint="eastAsia"/>
          <w:lang w:eastAsia="zh-CN"/>
        </w:rPr>
        <w:instrText xml:space="preserve">FORMTEXT</w:instrText>
      </w:r>
      <w:r>
        <w:rPr>
          <w:rFonts w:hint="eastAsia"/>
          <w:lang w:eastAsia="zh-CN"/>
        </w:rPr>
        <w:fldChar w:fldCharType="separate"/>
      </w:r>
      <w:r>
        <w:rPr>
          <w:rFonts w:hint="eastAsia"/>
          <w:lang w:eastAsia="zh-CN"/>
        </w:rPr>
        <w:t>点击此处添加ICS号</w:t>
      </w:r>
      <w:r>
        <w:rPr>
          <w:rFonts w:hint="eastAsia"/>
          <w:lang w:eastAsia="zh-CN"/>
        </w:rPr>
        <w:fldChar w:fldCharType="end"/>
      </w:r>
      <w:bookmarkEnd w:id="0"/>
    </w:p>
    <w:p w14:paraId="64AC7329">
      <w:pPr>
        <w:pStyle w:val="116"/>
        <w:bidi w:val="0"/>
        <w:rPr>
          <w:rFonts w:hint="eastAsia"/>
          <w:lang w:eastAsia="zh-CN"/>
        </w:rPr>
      </w:pPr>
      <w:r>
        <w:rPr>
          <w:rFonts w:hint="eastAsia"/>
          <w:lang w:eastAsia="zh-CN"/>
        </w:rPr>
        <w:fldChar w:fldCharType="begin">
          <w:ffData>
            <w:name w:val="WXFLH"/>
            <w:enabled/>
            <w:calcOnExit w:val="0"/>
            <w:helpText w:type="text" w:val="请输入中国标准文献分类号："/>
            <w:textInput>
              <w:default w:val="点击此处添加中国标准文献分类号"/>
            </w:textInput>
          </w:ffData>
        </w:fldChar>
      </w:r>
      <w:bookmarkStart w:id="1" w:name="WXFLH"/>
      <w:r>
        <w:rPr>
          <w:rFonts w:hint="eastAsia"/>
          <w:lang w:eastAsia="zh-CN"/>
        </w:rPr>
        <w:instrText xml:space="preserve">FORMTEXT</w:instrText>
      </w:r>
      <w:r>
        <w:rPr>
          <w:rFonts w:hint="eastAsia"/>
          <w:lang w:eastAsia="zh-CN"/>
        </w:rPr>
        <w:fldChar w:fldCharType="separate"/>
      </w:r>
      <w:r>
        <w:rPr>
          <w:rFonts w:hint="eastAsia"/>
          <w:lang w:eastAsia="zh-CN"/>
        </w:rPr>
        <w:t>点击此处添加中国标准文献分类号</w:t>
      </w:r>
      <w:r>
        <w:rPr>
          <w:rFonts w:hint="eastAsia"/>
          <w:lang w:eastAsia="zh-CN"/>
        </w:rPr>
        <w:fldChar w:fldCharType="end"/>
      </w:r>
      <w:bookmarkEnd w:id="1"/>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3"/>
      </w:tblGrid>
      <w:tr w14:paraId="610A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3" w:type="dxa"/>
            <w:tcBorders>
              <w:top w:val="nil"/>
              <w:left w:val="nil"/>
              <w:bottom w:val="nil"/>
              <w:right w:val="nil"/>
            </w:tcBorders>
            <w:noWrap w:val="0"/>
            <w:vAlign w:val="top"/>
          </w:tcPr>
          <w:p w14:paraId="76F32842">
            <w:pPr>
              <w:pStyle w:val="116"/>
              <w:bidi w:val="0"/>
              <w:rPr>
                <w:rFonts w:hint="eastAsia"/>
                <w:lang w:eastAsia="zh-CN"/>
              </w:rPr>
            </w:pPr>
            <w:r>
              <w:rPr>
                <w:sz w:val="21"/>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vert="horz" wrap="square" anchor="t" anchorCtr="0"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iuL+zVAAAABwEAAA8AAAAAAAAAAQAgAAAAIgAAAGRycy9kb3ducmV2Lnht&#10;bFBLAQIUABQAAAAIAIdO4kDNoeZXwwEAAIwDAAAOAAAAAAAAAAEAIAAAACQBAABkcnMvZTJvRG9j&#10;LnhtbFBLBQYAAAAABgAGAFkBAABZBQAAAAA=&#10;">
                      <v:fill on="t" focussize="0,0"/>
                      <v:stroke on="f"/>
                      <v:imagedata o:title=""/>
                      <o:lock v:ext="edit" aspectratio="f"/>
                    </v:rect>
                  </w:pict>
                </mc:Fallback>
              </mc:AlternateContent>
            </w:r>
            <w:r>
              <w:rPr>
                <w:rFonts w:hint="eastAsia"/>
                <w:lang w:eastAsia="zh-CN"/>
              </w:rPr>
              <w:fldChar w:fldCharType="begin">
                <w:ffData>
                  <w:name w:val="BAH"/>
                  <w:enabled/>
                  <w:calcOnExit w:val="0"/>
                  <w:textInput/>
                </w:ffData>
              </w:fldChar>
            </w:r>
            <w:bookmarkStart w:id="2" w:name="BAH"/>
            <w:r>
              <w:rPr>
                <w:rFonts w:hint="eastAsia"/>
                <w:lang w:eastAsia="zh-CN"/>
              </w:rPr>
              <w:instrText xml:space="preserve">FORMTEXT</w:instrText>
            </w:r>
            <w:r>
              <w:rPr>
                <w:rFonts w:hint="eastAsia"/>
                <w:lang w:eastAsia="zh-CN"/>
              </w:rPr>
              <w:fldChar w:fldCharType="separate"/>
            </w:r>
            <w:r>
              <w:rPr>
                <w:rFonts w:hint="default"/>
                <w:lang w:val="en-US" w:eastAsia="zh-CN"/>
              </w:rPr>
              <w:t>     </w:t>
            </w:r>
            <w:r>
              <w:rPr>
                <w:rFonts w:hint="eastAsia"/>
                <w:lang w:eastAsia="zh-CN"/>
              </w:rPr>
              <w:fldChar w:fldCharType="end"/>
            </w:r>
            <w:bookmarkEnd w:id="2"/>
          </w:p>
        </w:tc>
      </w:tr>
    </w:tbl>
    <w:p w14:paraId="115F89B6">
      <w:pPr>
        <w:pStyle w:val="107"/>
        <w:bidi w:val="0"/>
        <w:rPr>
          <w:rFonts w:hint="eastAsia"/>
          <w:lang w:eastAsia="zh-CN"/>
        </w:rPr>
      </w:pPr>
      <w:r>
        <w:rPr>
          <w:rFonts w:hint="eastAsia"/>
          <w:lang w:eastAsia="zh-CN"/>
        </w:rPr>
        <w:t>DB</w:t>
      </w:r>
      <w:r>
        <w:rPr>
          <w:rFonts w:hint="eastAsia"/>
          <w:lang w:eastAsia="zh-CN"/>
        </w:rPr>
        <w:fldChar w:fldCharType="begin">
          <w:ffData>
            <w:name w:val="c3"/>
            <w:enabled/>
            <w:calcOnExit w:val="0"/>
            <w:textInput>
              <w:maxLength w:val="2"/>
            </w:textInput>
          </w:ffData>
        </w:fldChar>
      </w:r>
      <w:bookmarkStart w:id="3" w:name="c3"/>
      <w:r>
        <w:rPr>
          <w:rFonts w:hint="eastAsia"/>
          <w:lang w:eastAsia="zh-CN"/>
        </w:rPr>
        <w:instrText xml:space="preserve">FORMTEXT</w:instrText>
      </w:r>
      <w:r>
        <w:rPr>
          <w:rFonts w:hint="eastAsia"/>
          <w:lang w:eastAsia="zh-CN"/>
        </w:rPr>
        <w:fldChar w:fldCharType="separate"/>
      </w:r>
      <w:r>
        <w:rPr>
          <w:rFonts w:hint="eastAsia"/>
          <w:lang w:eastAsia="zh-CN"/>
        </w:rPr>
        <w:t>6</w:t>
      </w:r>
      <w:r>
        <w:rPr>
          <w:rFonts w:hint="eastAsia"/>
          <w:lang w:val="en-US" w:eastAsia="zh-CN"/>
        </w:rPr>
        <w:t>1</w:t>
      </w:r>
      <w:r>
        <w:rPr>
          <w:rFonts w:hint="eastAsia"/>
          <w:lang w:eastAsia="zh-CN"/>
        </w:rPr>
        <w:fldChar w:fldCharType="end"/>
      </w:r>
      <w:bookmarkEnd w:id="3"/>
    </w:p>
    <w:p w14:paraId="08972E76">
      <w:pPr>
        <w:pStyle w:val="73"/>
        <w:bidi w:val="0"/>
        <w:rPr>
          <w:rFonts w:hint="eastAsia"/>
          <w:lang w:eastAsia="zh-CN"/>
        </w:rPr>
      </w:pPr>
      <w:r>
        <w:rPr>
          <w:rFonts w:hint="eastAsia"/>
          <w:lang w:eastAsia="zh-CN"/>
        </w:rPr>
        <w:fldChar w:fldCharType="begin">
          <w:ffData>
            <w:name w:val="c4"/>
            <w:enabled/>
            <w:calcOnExit w:val="0"/>
            <w:textInput/>
          </w:ffData>
        </w:fldChar>
      </w:r>
      <w:bookmarkStart w:id="4" w:name="c4"/>
      <w:r>
        <w:rPr>
          <w:rFonts w:hint="eastAsia"/>
          <w:lang w:eastAsia="zh-CN"/>
        </w:rPr>
        <w:instrText xml:space="preserve">FORMTEXT</w:instrText>
      </w:r>
      <w:r>
        <w:rPr>
          <w:rFonts w:hint="eastAsia"/>
          <w:lang w:eastAsia="zh-CN"/>
        </w:rPr>
        <w:fldChar w:fldCharType="separate"/>
      </w:r>
      <w:r>
        <w:rPr>
          <w:rFonts w:hint="eastAsia"/>
          <w:lang w:val="en-US" w:eastAsia="zh-CN"/>
        </w:rPr>
        <w:t>陕西省</w:t>
      </w:r>
      <w:r>
        <w:rPr>
          <w:rFonts w:hint="eastAsia"/>
          <w:lang w:eastAsia="zh-CN"/>
        </w:rPr>
        <w:fldChar w:fldCharType="end"/>
      </w:r>
      <w:bookmarkEnd w:id="4"/>
      <w:r>
        <w:rPr>
          <w:rFonts w:hint="eastAsia"/>
          <w:lang w:eastAsia="zh-CN"/>
        </w:rPr>
        <w:t>地方标准</w:t>
      </w:r>
    </w:p>
    <w:p w14:paraId="449F11F4">
      <w:pPr>
        <w:pStyle w:val="49"/>
        <w:bidi w:val="0"/>
        <w:rPr>
          <w:rFonts w:hint="eastAsia" w:ascii="Times New Roman" w:hAnsi="Times New Roman" w:cs="Times New Roman"/>
          <w:lang w:eastAsia="zh-CN"/>
        </w:rPr>
      </w:pPr>
      <w:r>
        <w:rPr>
          <w:rFonts w:hint="default" w:ascii="Times New Roman" w:hAnsi="Times New Roman" w:eastAsia="黑体" w:cs="Times New Roman"/>
          <w:lang w:eastAsia="zh-CN"/>
        </w:rPr>
        <w:t xml:space="preserve">DB </w:t>
      </w:r>
      <w:r>
        <w:rPr>
          <w:rFonts w:hint="default" w:ascii="Times New Roman" w:hAnsi="Times New Roman" w:eastAsia="黑体" w:cs="Times New Roman"/>
          <w:lang w:eastAsia="zh-CN"/>
        </w:rPr>
        <w:fldChar w:fldCharType="begin">
          <w:ffData>
            <w:name w:val="StdNo0"/>
            <w:enabled/>
            <w:calcOnExit w:val="0"/>
            <w:textInput>
              <w:default w:val="XX"/>
              <w:maxLength w:val="2"/>
            </w:textInput>
          </w:ffData>
        </w:fldChar>
      </w:r>
      <w:bookmarkStart w:id="5" w:name="StdNo0"/>
      <w:r>
        <w:rPr>
          <w:rFonts w:hint="default" w:ascii="Times New Roman" w:hAnsi="Times New Roman" w:eastAsia="黑体" w:cs="Times New Roman"/>
          <w:lang w:eastAsia="zh-CN"/>
        </w:rPr>
        <w:instrText xml:space="preserve">FORMTEXT</w:instrText>
      </w:r>
      <w:r>
        <w:rPr>
          <w:rFonts w:hint="default" w:ascii="Times New Roman" w:hAnsi="Times New Roman" w:eastAsia="黑体" w:cs="Times New Roman"/>
          <w:lang w:eastAsia="zh-CN"/>
        </w:rPr>
        <w:fldChar w:fldCharType="separate"/>
      </w:r>
      <w:r>
        <w:rPr>
          <w:rFonts w:hint="eastAsia" w:ascii="Times New Roman" w:hAnsi="Times New Roman" w:cs="Times New Roman"/>
          <w:lang w:eastAsia="zh-CN"/>
        </w:rPr>
        <w:t>6</w:t>
      </w:r>
      <w:r>
        <w:rPr>
          <w:rFonts w:hint="eastAsia" w:ascii="Times New Roman" w:hAnsi="Times New Roman" w:cs="Times New Roman"/>
          <w:lang w:val="en-US" w:eastAsia="zh-CN"/>
        </w:rPr>
        <w:t>1</w:t>
      </w:r>
      <w:r>
        <w:rPr>
          <w:rFonts w:hint="default" w:ascii="Times New Roman" w:hAnsi="Times New Roman" w:eastAsia="黑体" w:cs="Times New Roman"/>
          <w:lang w:eastAsia="zh-CN"/>
        </w:rPr>
        <w:fldChar w:fldCharType="end"/>
      </w:r>
      <w:bookmarkEnd w:id="5"/>
      <w:r>
        <w:rPr>
          <w:rFonts w:hint="eastAsia" w:ascii="Times New Roman" w:hAnsi="Times New Roman" w:cs="Times New Roman"/>
          <w:lang w:eastAsia="zh-CN"/>
        </w:rPr>
        <w:t xml:space="preserve">/ </w:t>
      </w:r>
      <w:bookmarkStart w:id="6" w:name="StdNo1"/>
      <w:r>
        <w:rPr>
          <w:rFonts w:hint="eastAsia" w:ascii="Times New Roman" w:hAnsi="Times New Roman" w:eastAsia="黑体" w:cs="Times New Roman"/>
          <w:sz w:val="28"/>
          <w:szCs w:val="28"/>
          <w:lang w:val="en-US" w:eastAsia="zh-CN" w:bidi="ar-SA"/>
        </w:rPr>
        <w:fldChar w:fldCharType="begin">
          <w:ffData>
            <w:name w:val="StdNo1"/>
            <w:enabled/>
            <w:calcOnExit w:val="0"/>
            <w:textInput>
              <w:default w:val="XXX"/>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XXX</w:t>
      </w:r>
      <w:r>
        <w:rPr>
          <w:rFonts w:hint="eastAsia" w:ascii="Times New Roman" w:hAnsi="Times New Roman" w:eastAsia="黑体" w:cs="Times New Roman"/>
          <w:sz w:val="28"/>
          <w:szCs w:val="28"/>
          <w:lang w:val="en-US" w:eastAsia="zh-CN" w:bidi="ar-SA"/>
        </w:rPr>
        <w:fldChar w:fldCharType="end"/>
      </w:r>
      <w:bookmarkEnd w:id="6"/>
      <w:r>
        <w:rPr>
          <w:rFonts w:hint="eastAsia" w:ascii="Times New Roman" w:hAnsi="Times New Roman" w:cs="Times New Roman"/>
          <w:lang w:eastAsia="zh-CN"/>
        </w:rPr>
        <w:t>—</w:t>
      </w:r>
      <w:r>
        <w:rPr>
          <w:rFonts w:hint="eastAsia" w:ascii="Times New Roman" w:hAnsi="Times New Roman" w:cs="Times New Roman"/>
          <w:lang w:eastAsia="zh-CN"/>
        </w:rPr>
        <w:fldChar w:fldCharType="begin">
          <w:ffData>
            <w:name w:val="StdNo2"/>
            <w:enabled/>
            <w:calcOnExit w:val="0"/>
            <w:textInput>
              <w:default w:val="XXXX"/>
              <w:maxLength w:val="4"/>
            </w:textInput>
          </w:ffData>
        </w:fldChar>
      </w:r>
      <w:bookmarkStart w:id="7" w:name="StdNo2"/>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XXXX</w:t>
      </w:r>
      <w:r>
        <w:rPr>
          <w:rFonts w:hint="eastAsia" w:ascii="Times New Roman" w:hAnsi="Times New Roman" w:cs="Times New Roman"/>
          <w:lang w:eastAsia="zh-CN"/>
        </w:rPr>
        <w:fldChar w:fldCharType="end"/>
      </w:r>
      <w:bookmarkEnd w:id="7"/>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6149B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19BAECAC">
            <w:pPr>
              <w:pStyle w:val="82"/>
              <w:bidi w:val="0"/>
              <w:rPr>
                <w:rFonts w:hint="eastAsia" w:ascii="Times New Roman" w:hAnsi="Times New Roman" w:cs="Times New Roman"/>
                <w:vertAlign w:val="baseline"/>
                <w:lang w:eastAsia="zh-CN"/>
              </w:rPr>
            </w:pPr>
            <w:r>
              <w:rPr>
                <w:sz w:val="21"/>
              </w:rPr>
              <mc:AlternateContent>
                <mc:Choice Requires="wps">
                  <w:drawing>
                    <wp:anchor distT="0" distB="0" distL="114300" distR="114300" simplePos="0" relativeHeight="251659264" behindDoc="1" locked="0" layoutInCell="1" allowOverlap="1">
                      <wp:simplePos x="0" y="0"/>
                      <wp:positionH relativeFrom="column">
                        <wp:posOffset>4735195</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vert="horz" wrap="square" anchor="t" anchorCtr="0" upright="1"/>
                          </wps:wsp>
                        </a:graphicData>
                      </a:graphic>
                    </wp:anchor>
                  </w:drawing>
                </mc:Choice>
                <mc:Fallback>
                  <w:pict>
                    <v:rect id="DT" o:spid="_x0000_s1026" o:spt="1" style="position:absolute;left:0pt;margin-left:372.85pt;margin-top:2.7pt;height:18pt;width:90pt;z-index:-251657216;mso-width-relative:page;mso-height-relative:page;" fillcolor="#FFFFFF" filled="t" stroked="f" coordsize="21600,21600" o:gfxdata="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I1t4tYAAAAIAQAADwAAAAAAAAABACAAAAAiAAAAZHJzL2Rvd25yZXYueG1sUEsB&#10;AhQAFAAAAAgAh07iQOmFGHq+AQAAjAMAAA4AAAAAAAAAAQAgAAAAJQEAAGRycy9lMm9Eb2MueG1s&#10;UEsFBgAAAAAGAAYAWQEAAFUFAAAAAA==&#10;">
                      <v:fill on="t" focussize="0,0"/>
                      <v:stroke on="f"/>
                      <v:imagedata o:title=""/>
                      <o:lock v:ext="edit" aspectratio="f"/>
                    </v:rect>
                  </w:pict>
                </mc:Fallback>
              </mc:AlternateContent>
            </w:r>
            <w:r>
              <w:rPr>
                <w:rFonts w:hint="eastAsia" w:ascii="Times New Roman" w:hAnsi="Times New Roman" w:cs="Times New Roman"/>
                <w:vertAlign w:val="baseline"/>
                <w:lang w:eastAsia="zh-CN"/>
              </w:rPr>
              <w:fldChar w:fldCharType="begin">
                <w:ffData>
                  <w:name w:val="DT"/>
                  <w:enabled/>
                  <w:calcOnExit w:val="0"/>
                  <w:textInput/>
                </w:ffData>
              </w:fldChar>
            </w:r>
            <w:bookmarkStart w:id="8" w:name="DT"/>
            <w:r>
              <w:rPr>
                <w:rFonts w:hint="eastAsia" w:ascii="Times New Roman" w:hAnsi="Times New Roman" w:cs="Times New Roman"/>
                <w:vertAlign w:val="baseline"/>
                <w:lang w:eastAsia="zh-CN"/>
              </w:rPr>
              <w:instrText xml:space="preserve">FORMTEXT</w:instrText>
            </w:r>
            <w:r>
              <w:rPr>
                <w:rFonts w:hint="eastAsia" w:ascii="Times New Roman" w:hAnsi="Times New Roman" w:cs="Times New Roman"/>
                <w:vertAlign w:val="baseline"/>
                <w:lang w:eastAsia="zh-CN"/>
              </w:rPr>
              <w:fldChar w:fldCharType="separate"/>
            </w:r>
            <w:r>
              <w:rPr>
                <w:rFonts w:hint="default" w:ascii="Times New Roman" w:hAnsi="Times New Roman" w:cs="Times New Roman"/>
                <w:vertAlign w:val="baseline"/>
                <w:lang w:val="en-US" w:eastAsia="zh-CN"/>
              </w:rPr>
              <w:t>     </w:t>
            </w:r>
            <w:r>
              <w:rPr>
                <w:rFonts w:hint="eastAsia" w:ascii="Times New Roman" w:hAnsi="Times New Roman" w:cs="Times New Roman"/>
                <w:vertAlign w:val="baseline"/>
                <w:lang w:eastAsia="zh-CN"/>
              </w:rPr>
              <w:fldChar w:fldCharType="end"/>
            </w:r>
            <w:bookmarkEnd w:id="8"/>
          </w:p>
        </w:tc>
      </w:tr>
    </w:tbl>
    <w:p w14:paraId="44AEB09A">
      <w:pPr>
        <w:pStyle w:val="49"/>
        <w:bidi w:val="0"/>
        <w:rPr>
          <w:rFonts w:hint="eastAsia" w:ascii="Times New Roman" w:hAnsi="Times New Roman" w:cs="Times New Roman"/>
          <w:lang w:eastAsia="zh-CN"/>
        </w:rPr>
      </w:pPr>
    </w:p>
    <w:p w14:paraId="6ED85642">
      <w:pPr>
        <w:pStyle w:val="49"/>
        <w:bidi w:val="0"/>
        <w:rPr>
          <w:rFonts w:hint="eastAsia" w:ascii="Times New Roman" w:hAnsi="Times New Roman" w:cs="Times New Roman"/>
          <w:lang w:eastAsia="zh-CN"/>
        </w:rPr>
      </w:pPr>
    </w:p>
    <w:p w14:paraId="28F180F5">
      <w:pPr>
        <w:pStyle w:val="77"/>
        <w:bidi w:val="0"/>
        <w:rPr>
          <w:rFonts w:hint="eastAsia" w:ascii="Times New Roman" w:hAnsi="Times New Roman" w:cs="Times New Roman"/>
          <w:lang w:eastAsia="zh-CN"/>
        </w:rPr>
      </w:pPr>
      <w:r>
        <w:rPr>
          <w:rFonts w:hint="eastAsia" w:ascii="Times New Roman" w:hAnsi="Times New Roman" w:cs="Times New Roman"/>
          <w:lang w:eastAsia="zh-CN"/>
        </w:rPr>
        <w:fldChar w:fldCharType="begin">
          <w:ffData>
            <w:name w:val="StdName"/>
            <w:enabled/>
            <w:calcOnExit w:val="0"/>
            <w:textInput>
              <w:default w:val="点击此处添加标准名称"/>
            </w:textInput>
          </w:ffData>
        </w:fldChar>
      </w:r>
      <w:bookmarkStart w:id="9" w:name="StdName"/>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预制菜加工技术规范 第3部分：即烹预制菜</w:t>
      </w:r>
      <w:r>
        <w:rPr>
          <w:rFonts w:hint="eastAsia" w:ascii="Times New Roman" w:hAnsi="Times New Roman" w:cs="Times New Roman"/>
          <w:lang w:eastAsia="zh-CN"/>
        </w:rPr>
        <w:fldChar w:fldCharType="end"/>
      </w:r>
      <w:bookmarkEnd w:id="9"/>
    </w:p>
    <w:p w14:paraId="3A126042">
      <w:pPr>
        <w:pStyle w:val="76"/>
        <w:bidi w:val="0"/>
        <w:rPr>
          <w:rFonts w:hint="eastAsia" w:ascii="Times New Roman" w:hAnsi="Times New Roman" w:cs="Times New Roman"/>
          <w:lang w:eastAsia="zh-CN"/>
        </w:rPr>
      </w:pPr>
      <w:r>
        <w:rPr>
          <w:rFonts w:hint="eastAsia" w:ascii="Times New Roman" w:hAnsi="Times New Roman" w:cs="Times New Roman"/>
          <w:lang w:eastAsia="zh-CN"/>
        </w:rPr>
        <w:fldChar w:fldCharType="begin">
          <w:ffData>
            <w:name w:val="StdEnglishName"/>
            <w:enabled/>
            <w:calcOnExit w:val="0"/>
            <w:textInput>
              <w:default w:val="点击此处添加标准英文译名"/>
            </w:textInput>
          </w:ffData>
        </w:fldChar>
      </w:r>
      <w:bookmarkStart w:id="10" w:name="StdEnglishName"/>
      <w:r>
        <w:rPr>
          <w:rFonts w:hint="eastAsia" w:ascii="Times New Roman" w:hAnsi="Times New Roman" w:cs="Times New Roman"/>
          <w:lang w:eastAsia="zh-CN"/>
        </w:rPr>
        <w:instrText xml:space="preserve">FORMTEXT</w:instrText>
      </w:r>
      <w:r>
        <w:rPr>
          <w:rFonts w:hint="eastAsia" w:ascii="Times New Roman" w:hAnsi="Times New Roman" w:cs="Times New Roman"/>
          <w:lang w:eastAsia="zh-CN"/>
        </w:rPr>
        <w:fldChar w:fldCharType="separate"/>
      </w:r>
      <w:r>
        <w:rPr>
          <w:rFonts w:hint="eastAsia" w:ascii="Times New Roman" w:hAnsi="Times New Roman" w:cs="Times New Roman"/>
          <w:lang w:eastAsia="zh-CN"/>
        </w:rPr>
        <w:t>点击此处添加标准英文译名</w:t>
      </w:r>
      <w:r>
        <w:rPr>
          <w:rFonts w:hint="eastAsia" w:ascii="Times New Roman" w:hAnsi="Times New Roman" w:cs="Times New Roman"/>
          <w:lang w:eastAsia="zh-CN"/>
        </w:rPr>
        <w:fldChar w:fldCharType="end"/>
      </w:r>
      <w:bookmarkEnd w:id="10"/>
    </w:p>
    <w:p w14:paraId="15FC3BE4">
      <w:pPr>
        <w:pStyle w:val="75"/>
        <w:bidi w:val="0"/>
        <w:rPr>
          <w:rFonts w:hint="eastAsia"/>
          <w:vertAlign w:val="baseline"/>
          <w:lang w:eastAsia="zh-CN"/>
        </w:rPr>
      </w:pPr>
      <w:r>
        <w:rPr>
          <w:rFonts w:hint="eastAsia"/>
          <w:lang w:eastAsia="zh-CN"/>
        </w:rPr>
        <w:fldChar w:fldCharType="begin">
          <w:ffData>
            <w:name w:val="YZBS"/>
            <w:enabled/>
            <w:calcOnExit w:val="0"/>
            <w:textInput>
              <w:default w:val="点击此处添加与国际标准一致性程度的标识"/>
            </w:textInput>
          </w:ffData>
        </w:fldChar>
      </w:r>
      <w:bookmarkStart w:id="11" w:name="YZBS"/>
      <w:r>
        <w:rPr>
          <w:rFonts w:hint="eastAsia"/>
          <w:lang w:eastAsia="zh-CN"/>
        </w:rPr>
        <w:instrText xml:space="preserve">FORMTEXT</w:instrText>
      </w:r>
      <w:r>
        <w:rPr>
          <w:rFonts w:hint="eastAsia"/>
          <w:lang w:eastAsia="zh-CN"/>
        </w:rPr>
        <w:fldChar w:fldCharType="separate"/>
      </w:r>
      <w:r>
        <w:rPr>
          <w:rFonts w:hint="eastAsia"/>
          <w:lang w:eastAsia="zh-CN"/>
        </w:rPr>
        <w:t>点击此处添加与国际标准一致性程度的标识</w:t>
      </w:r>
      <w:r>
        <w:rPr>
          <w:rFonts w:hint="eastAsia"/>
          <w:lang w:eastAsia="zh-CN"/>
        </w:rPr>
        <w:fldChar w:fldCharType="end"/>
      </w:r>
      <w:bookmarkEnd w:id="11"/>
    </w:p>
    <w:tbl>
      <w:tblPr>
        <w:tblStyle w:val="2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58A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12C2F15A">
            <w:pPr>
              <w:pStyle w:val="81"/>
              <w:bidi w:val="0"/>
              <w:rPr>
                <w:rFonts w:hint="eastAsia"/>
                <w:lang w:eastAsia="zh-CN"/>
              </w:rPr>
            </w:pPr>
            <w:r>
              <w:rPr>
                <w:sz w:val="24"/>
              </w:rPr>
              <mc:AlternateContent>
                <mc:Choice Requires="wps">
                  <w:drawing>
                    <wp:anchor distT="0" distB="0" distL="114300" distR="114300" simplePos="0" relativeHeight="251661312" behindDoc="1" locked="1" layoutInCell="1" allowOverlap="1">
                      <wp:simplePos x="0" y="0"/>
                      <wp:positionH relativeFrom="column">
                        <wp:posOffset>2201545</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vert="horz" wrap="square" anchor="t" anchorCtr="0" upright="1"/>
                          </wps:wsp>
                        </a:graphicData>
                      </a:graphic>
                    </wp:anchor>
                  </w:drawing>
                </mc:Choice>
                <mc:Fallback>
                  <w:pict>
                    <v:rect id="RQ" o:spid="_x0000_s1026" o:spt="1" style="position:absolute;left:0pt;margin-left:173.35pt;margin-top:45.15pt;height:20pt;width:150pt;z-index:-251655168;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FyNMNYAAAAKAQAADwAAAAAAAAABACAAAAAiAAAAZHJzL2Rvd25yZXYueG1sUEsB&#10;AhQAFAAAAAgAh07iQABWK/6+AQAAjAMAAA4AAAAAAAAAAQAgAAAAJQEAAGRycy9lMm9Eb2MueG1s&#10;UEsFBgAAAAAGAAYAWQEAAFUFAAAAAA==&#10;">
                      <v:fill on="t" focussize="0,0"/>
                      <v:stroke on="f"/>
                      <v:imagedata o:title=""/>
                      <o:lock v:ext="edit" aspectratio="f"/>
                      <w10:anchorlock/>
                    </v:rect>
                  </w:pict>
                </mc:Fallback>
              </mc:AlternateContent>
            </w:r>
            <w:r>
              <w:rPr>
                <w:sz w:val="24"/>
              </w:rPr>
              <mc:AlternateContent>
                <mc:Choice Requires="wps">
                  <w:drawing>
                    <wp:anchor distT="0" distB="0" distL="114300" distR="114300" simplePos="0" relativeHeight="251660288" behindDoc="1" locked="0" layoutInCell="1" allowOverlap="1">
                      <wp:simplePos x="0" y="0"/>
                      <wp:positionH relativeFrom="column">
                        <wp:posOffset>2455545</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vert="horz" wrap="square" anchor="t" anchorCtr="0" upright="1"/>
                          </wps:wsp>
                        </a:graphicData>
                      </a:graphic>
                    </wp:anchor>
                  </w:drawing>
                </mc:Choice>
                <mc:Fallback>
                  <w:pict>
                    <v:rect id="LB" o:spid="_x0000_s1026" o:spt="1" style="position:absolute;left:0pt;margin-left:193.35pt;margin-top:20.15pt;height:24pt;width:100pt;z-index:-251656192;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DCL6HXAAAACQEAAA8AAAAAAAAAAQAgAAAAIgAAAGRycy9kb3ducmV2LnhtbFBL&#10;AQIUABQAAAAIAIdO4kAu7RtXvgEAAIwDAAAOAAAAAAAAAAEAIAAAACYBAABkcnMvZTJvRG9jLnht&#10;bFBLBQYAAAAABgAGAFkBAABWBQAAAAA=&#10;">
                      <v:fill on="t" focussize="0,0"/>
                      <v:stroke on="f"/>
                      <v:imagedata o:title=""/>
                      <o:lock v:ext="edit" aspectratio="f"/>
                    </v:rect>
                  </w:pict>
                </mc:Fallback>
              </mc:AlternateContent>
            </w:r>
            <w:r>
              <w:rPr>
                <w:rFonts w:hint="eastAsia"/>
                <w:lang w:eastAsia="zh-CN"/>
              </w:rP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Pr>
                <w:rFonts w:hint="eastAsia"/>
                <w:lang w:eastAsia="zh-CN"/>
              </w:rPr>
              <w:instrText xml:space="preserve">FORMDROPDOWN</w:instrText>
            </w:r>
            <w:r>
              <w:rPr>
                <w:rFonts w:hint="eastAsia"/>
                <w:lang w:eastAsia="zh-CN"/>
              </w:rPr>
              <w:fldChar w:fldCharType="separate"/>
            </w:r>
            <w:r>
              <w:rPr>
                <w:rFonts w:hint="eastAsia"/>
                <w:lang w:eastAsia="zh-CN"/>
              </w:rPr>
              <w:fldChar w:fldCharType="end"/>
            </w:r>
            <w:bookmarkEnd w:id="12"/>
          </w:p>
        </w:tc>
      </w:tr>
      <w:tr w14:paraId="7E84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3ECD36EC">
            <w:pPr>
              <w:pStyle w:val="80"/>
              <w:bidi w:val="0"/>
              <w:rPr>
                <w:rFonts w:hint="eastAsia"/>
                <w:vertAlign w:val="baseline"/>
                <w:lang w:eastAsia="zh-CN"/>
              </w:rPr>
            </w:pPr>
            <w:r>
              <w:rPr>
                <w:rFonts w:hint="eastAsia"/>
                <w:vertAlign w:val="baseline"/>
                <w:lang w:eastAsia="zh-CN"/>
              </w:rPr>
              <w:fldChar w:fldCharType="begin">
                <w:ffData>
                  <w:name w:val="WCRQ"/>
                  <w:enabled/>
                  <w:calcOnExit w:val="0"/>
                  <w:textInput/>
                </w:ffData>
              </w:fldChar>
            </w:r>
            <w:bookmarkStart w:id="13" w:name="WCRQ"/>
            <w:r>
              <w:rPr>
                <w:rFonts w:hint="eastAsia"/>
                <w:vertAlign w:val="baseline"/>
                <w:lang w:eastAsia="zh-CN"/>
              </w:rPr>
              <w:instrText xml:space="preserve">FORMTEXT</w:instrText>
            </w:r>
            <w:r>
              <w:rPr>
                <w:rFonts w:hint="eastAsia"/>
                <w:vertAlign w:val="baseline"/>
                <w:lang w:eastAsia="zh-CN"/>
              </w:rPr>
              <w:fldChar w:fldCharType="separate"/>
            </w:r>
            <w:r>
              <w:rPr>
                <w:rFonts w:hint="default"/>
                <w:vertAlign w:val="baseline"/>
                <w:lang w:val="en-US" w:eastAsia="zh-CN"/>
              </w:rPr>
              <w:t>     </w:t>
            </w:r>
            <w:r>
              <w:rPr>
                <w:rFonts w:hint="eastAsia"/>
                <w:vertAlign w:val="baseline"/>
                <w:lang w:eastAsia="zh-CN"/>
              </w:rPr>
              <w:fldChar w:fldCharType="end"/>
            </w:r>
            <w:bookmarkEnd w:id="13"/>
          </w:p>
        </w:tc>
      </w:tr>
    </w:tbl>
    <w:p w14:paraId="7FD7626B">
      <w:pPr>
        <w:pStyle w:val="119"/>
        <w:bidi w:val="0"/>
        <w:rPr>
          <w:rFonts w:hint="eastAsia"/>
          <w:lang w:eastAsia="zh-CN"/>
        </w:rPr>
      </w:pPr>
      <w:r>
        <w:rPr>
          <w:rFonts w:ascii="黑体" w:eastAsia="黑体"/>
        </w:rPr>
        <w:fldChar w:fldCharType="begin">
          <w:ffData>
            <w:name w:val="FY"/>
            <w:enabled/>
            <w:calcOnExit w:val="0"/>
            <w:textInput>
              <w:default w:val="XXXX"/>
              <w:maxLength w:val="4"/>
            </w:textInput>
          </w:ffData>
        </w:fldChar>
      </w:r>
      <w:bookmarkStart w:id="14" w:name="FY"/>
      <w:r>
        <w:rPr>
          <w:rFonts w:ascii="黑体" w:eastAsia="黑体"/>
        </w:rPr>
        <w:instrText xml:space="preserve">FORMTEXT</w:instrText>
      </w:r>
      <w:r>
        <w:rPr>
          <w:rFonts w:ascii="黑体" w:eastAsia="黑体"/>
        </w:rPr>
        <w:fldChar w:fldCharType="separate"/>
      </w:r>
      <w:r>
        <w:rPr>
          <w:rFonts w:ascii="黑体" w:eastAsia="黑体"/>
        </w:rPr>
        <w:t>XXXX</w:t>
      </w:r>
      <w:r>
        <w:rPr>
          <w:rFonts w:ascii="黑体" w:eastAsia="黑体"/>
        </w:rPr>
        <w:fldChar w:fldCharType="end"/>
      </w:r>
      <w:bookmarkEnd w:id="14"/>
      <w:r>
        <mc:AlternateContent>
          <mc:Choice Requires="wps">
            <w:drawing>
              <wp:anchor distT="0" distB="0" distL="114300" distR="114300" simplePos="0" relativeHeight="251663360" behindDoc="0" locked="1" layoutInCell="1" allowOverlap="1">
                <wp:simplePos x="0" y="0"/>
                <wp:positionH relativeFrom="column">
                  <wp:posOffset>-11430</wp:posOffset>
                </wp:positionH>
                <wp:positionV relativeFrom="page">
                  <wp:posOffset>9253220</wp:posOffset>
                </wp:positionV>
                <wp:extent cx="6121400" cy="0"/>
                <wp:effectExtent l="0" t="0" r="0" b="0"/>
                <wp:wrapNone/>
                <wp:docPr id="5" name="直线 10"/>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9pt;margin-top:728.6pt;height:0pt;width:482pt;mso-position-vertical-relative:page;z-index:251663360;mso-width-relative:page;mso-height-relative:page;" filled="f" stroked="t" coordsize="21600,21600" o:gfxdata="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8dp89cA&#10;AAAMAQAADwAAAAAAAAABACAAAAAiAAAAZHJzL2Rvd25yZXYueG1sUEsBAhQAFAAAAAgAh07iQPfR&#10;c/jnAQAA3AMAAA4AAAAAAAAAAQAgAAAAJgEAAGRycy9lMm9Eb2MueG1sUEsFBgAAAAAGAAYAWQEA&#10;AH8FAAAAAA==&#10;">
                <v:fill on="f" focussize="0,0"/>
                <v:stroke color="#000000" joinstyle="round"/>
                <v:imagedata o:title=""/>
                <o:lock v:ext="edit" aspectratio="f"/>
                <w10:anchorlock/>
              </v:line>
            </w:pict>
          </mc:Fallback>
        </mc:AlternateContent>
      </w:r>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FM"/>
            <w:enabled/>
            <w:calcOnExit w:val="0"/>
            <w:textInput>
              <w:default w:val="XX"/>
              <w:maxLength w:val="2"/>
            </w:textInput>
          </w:ffData>
        </w:fldChar>
      </w:r>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FD"/>
            <w:enabled/>
            <w:calcOnExit w:val="0"/>
            <w:textInput>
              <w:default w:val="XX"/>
              <w:maxLength w:val="2"/>
            </w:textInput>
          </w:ffData>
        </w:fldChar>
      </w:r>
      <w:bookmarkStart w:id="15" w:name="FD"/>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15"/>
      <w:r>
        <w:rPr>
          <w:rFonts w:hint="eastAsia"/>
          <w:lang w:eastAsia="zh-CN"/>
        </w:rPr>
        <w:t>发布</w:t>
      </w:r>
    </w:p>
    <w:p w14:paraId="7CAA9B59">
      <w:pPr>
        <w:pStyle w:val="122"/>
        <w:bidi w:val="0"/>
        <w:rPr>
          <w:rFonts w:hint="eastAsia"/>
          <w:lang w:eastAsia="zh-CN"/>
        </w:rPr>
      </w:pPr>
      <w:r>
        <w:rPr>
          <w:rFonts w:hint="eastAsia" w:ascii="黑体" w:eastAsia="黑体"/>
          <w:lang w:eastAsia="zh-CN"/>
        </w:rPr>
        <w:fldChar w:fldCharType="begin">
          <w:ffData>
            <w:name w:val="SY"/>
            <w:enabled/>
            <w:calcOnExit w:val="0"/>
            <w:textInput>
              <w:default w:val="XXXX"/>
              <w:maxLength w:val="4"/>
            </w:textInput>
          </w:ffData>
        </w:fldChar>
      </w:r>
      <w:bookmarkStart w:id="16" w:name="SY"/>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XXXX</w:t>
      </w:r>
      <w:r>
        <w:rPr>
          <w:rFonts w:hint="eastAsia" w:ascii="黑体" w:eastAsia="黑体"/>
          <w:lang w:eastAsia="zh-CN"/>
        </w:rPr>
        <w:fldChar w:fldCharType="end"/>
      </w:r>
      <w:bookmarkEnd w:id="16"/>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SM"/>
            <w:enabled/>
            <w:calcOnExit w:val="0"/>
            <w:textInput>
              <w:default w:val="XX"/>
              <w:maxLength w:val="2"/>
            </w:textInput>
          </w:ffData>
        </w:fldChar>
      </w:r>
      <w:bookmarkStart w:id="17" w:name="SM"/>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17"/>
      <w:r>
        <w:rPr>
          <w:rFonts w:hint="eastAsia"/>
          <w:lang w:eastAsia="zh-CN"/>
        </w:rPr>
        <w:t xml:space="preserve"> </w:t>
      </w:r>
      <w:r>
        <w:rPr>
          <w:rFonts w:hint="eastAsia" w:ascii="黑体" w:eastAsia="黑体"/>
          <w:lang w:eastAsia="zh-CN"/>
        </w:rPr>
        <w:t>-</w:t>
      </w:r>
      <w:r>
        <w:rPr>
          <w:rFonts w:hint="eastAsia"/>
          <w:lang w:eastAsia="zh-CN"/>
        </w:rPr>
        <w:t xml:space="preserve"> </w:t>
      </w:r>
      <w:r>
        <w:rPr>
          <w:rFonts w:hint="eastAsia" w:ascii="黑体" w:eastAsia="黑体"/>
          <w:lang w:eastAsia="zh-CN"/>
        </w:rPr>
        <w:fldChar w:fldCharType="begin">
          <w:ffData>
            <w:name w:val="SD"/>
            <w:enabled/>
            <w:calcOnExit w:val="0"/>
            <w:textInput>
              <w:default w:val="XX"/>
              <w:maxLength w:val="2"/>
            </w:textInput>
          </w:ffData>
        </w:fldChar>
      </w:r>
      <w:bookmarkStart w:id="18" w:name="SD"/>
      <w:r>
        <w:rPr>
          <w:rFonts w:hint="eastAsia" w:ascii="黑体" w:eastAsia="黑体"/>
          <w:lang w:eastAsia="zh-CN"/>
        </w:rPr>
        <w:instrText xml:space="preserve">FORMTEXT</w:instrText>
      </w:r>
      <w:r>
        <w:rPr>
          <w:rFonts w:hint="eastAsia" w:ascii="黑体" w:eastAsia="黑体"/>
          <w:lang w:eastAsia="zh-CN"/>
        </w:rPr>
        <w:fldChar w:fldCharType="separate"/>
      </w:r>
      <w:r>
        <w:rPr>
          <w:rFonts w:hint="eastAsia" w:ascii="黑体" w:eastAsia="黑体"/>
          <w:lang w:eastAsia="zh-CN"/>
        </w:rPr>
        <w:t>XX</w:t>
      </w:r>
      <w:r>
        <w:rPr>
          <w:rFonts w:hint="eastAsia" w:ascii="黑体" w:eastAsia="黑体"/>
          <w:lang w:eastAsia="zh-CN"/>
        </w:rPr>
        <w:fldChar w:fldCharType="end"/>
      </w:r>
      <w:bookmarkEnd w:id="18"/>
      <w:r>
        <w:rPr>
          <w:rFonts w:hint="eastAsia"/>
          <w:lang w:eastAsia="zh-CN"/>
        </w:rPr>
        <w:t>实施</w:t>
      </w:r>
    </w:p>
    <w:p w14:paraId="1C86F9ED">
      <w:pPr>
        <w:pStyle w:val="87"/>
        <w:bidi w:val="0"/>
        <w:rPr>
          <w:rFonts w:hint="eastAsia"/>
          <w:lang w:eastAsia="zh-CN"/>
        </w:rPr>
      </w:pPr>
      <w:r>
        <w:rPr>
          <w:rFonts w:hint="eastAsia"/>
          <w:lang w:eastAsia="zh-CN"/>
        </w:rPr>
        <w:fldChar w:fldCharType="begin">
          <w:ffData>
            <w:name w:val="fm"/>
            <w:enabled/>
            <w:calcOnExit w:val="0"/>
            <w:textInput/>
          </w:ffData>
        </w:fldChar>
      </w:r>
      <w:bookmarkStart w:id="19" w:name="fm"/>
      <w:r>
        <w:rPr>
          <w:rFonts w:hint="eastAsia"/>
          <w:lang w:eastAsia="zh-CN"/>
        </w:rPr>
        <w:instrText xml:space="preserve">FORMTEXT</w:instrText>
      </w:r>
      <w:r>
        <w:rPr>
          <w:rFonts w:hint="eastAsia"/>
          <w:lang w:eastAsia="zh-CN"/>
        </w:rPr>
        <w:fldChar w:fldCharType="separate"/>
      </w:r>
      <w:r>
        <w:rPr>
          <w:rFonts w:hint="eastAsia"/>
          <w:lang w:val="en-US" w:eastAsia="zh-CN"/>
        </w:rPr>
        <w:t>陕西省市场监督管理局</w:t>
      </w:r>
      <w:r>
        <w:rPr>
          <w:rFonts w:hint="eastAsia"/>
          <w:lang w:eastAsia="zh-CN"/>
        </w:rPr>
        <w:fldChar w:fldCharType="end"/>
      </w:r>
      <w:bookmarkEnd w:id="19"/>
      <w:r>
        <w:rPr>
          <w:rFonts w:hint="eastAsia"/>
          <w:lang w:eastAsia="zh-CN"/>
        </w:rPr>
        <w:t>   </w:t>
      </w:r>
      <w:r>
        <w:rPr>
          <w:rStyle w:val="130"/>
          <w:rFonts w:hint="eastAsia"/>
          <w:lang w:eastAsia="zh-CN"/>
        </w:rPr>
        <w:t>发布</w:t>
      </w:r>
    </w:p>
    <w:p w14:paraId="15323522">
      <w:pPr>
        <w:pStyle w:val="20"/>
        <w:rPr>
          <w:rFonts w:hint="eastAsia"/>
          <w:lang w:eastAsia="zh-CN"/>
        </w:rPr>
        <w:sectPr>
          <w:headerReference r:id="rId4" w:type="first"/>
          <w:footerReference r:id="rId6" w:type="first"/>
          <w:headerReference r:id="rId3" w:type="even"/>
          <w:footerReference r:id="rId5" w:type="even"/>
          <w:pgSz w:w="11906" w:h="16838"/>
          <w:pgMar w:top="567" w:right="851" w:bottom="1134" w:left="1418" w:header="0" w:footer="0" w:gutter="0"/>
          <w:pgNumType w:start="1"/>
          <w:cols w:space="720" w:num="1"/>
          <w:formProt w:val="1"/>
          <w:docGrid w:type="lines" w:linePitch="312" w:charSpace="0"/>
        </w:sectPr>
      </w:pPr>
      <w:r>
        <w:rPr>
          <w:sz w:val="21"/>
        </w:rPr>
        <mc:AlternateContent>
          <mc:Choice Requires="wps">
            <w:drawing>
              <wp:anchor distT="0" distB="0" distL="114300" distR="114300" simplePos="0" relativeHeight="251664384" behindDoc="0" locked="0" layoutInCell="1" allowOverlap="1">
                <wp:simplePos x="0" y="0"/>
                <wp:positionH relativeFrom="column">
                  <wp:posOffset>-11430</wp:posOffset>
                </wp:positionH>
                <wp:positionV relativeFrom="paragraph">
                  <wp:posOffset>2332355</wp:posOffset>
                </wp:positionV>
                <wp:extent cx="6121400" cy="0"/>
                <wp:effectExtent l="0" t="0" r="0" b="0"/>
                <wp:wrapNone/>
                <wp:docPr id="6" name="直线 11"/>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9pt;margin-top:183.65pt;height:0pt;width:482pt;z-index:251664384;mso-width-relative:page;mso-height-relative:page;" filled="f" stroked="t" coordsize="21600,21600" o:gfxdata="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V1FmcM2FDMndvG8w7DNmamxy7a/CcO7FgEPV0EVcfEBB0u60X9dk5aiydf9XwxREwflbcsGy03&#10;2mWu0MDhEyZKRqFPIfnYODa2/P3N4obggAavo4aTaQMVj64vd9EbLe+1MfkGxn53ZyI7QG5++TIl&#10;wv0rLCfZAA5TXHFNYzEokB+cZOkUSBZHr4HnEqySnBlFjydbBAhNAm2uiaTUxlEFWdVJx2ztvDxR&#10;E/Yh6n4gJYrwJYaaXuo9D2ieqj/3Ben5Ua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UY2YzX&#10;AAAACgEAAA8AAAAAAAAAAQAgAAAAIgAAAGRycy9kb3ducmV2LnhtbFBLAQIUABQAAAAIAIdO4kDB&#10;axds6AEAANwDAAAOAAAAAAAAAAEAIAAAACYBAABkcnMvZTJvRG9jLnhtbFBLBQYAAAAABgAGAFkB&#10;AACABQAAAAA=&#10;">
                <v:fill on="f" focussize="0,0"/>
                <v:stroke color="#000000" joinstyle="round"/>
                <v:imagedata o:title=""/>
                <o:lock v:ext="edit" aspectratio="f"/>
              </v:line>
            </w:pict>
          </mc:Fallback>
        </mc:AlternateContent>
      </w:r>
    </w:p>
    <w:p w14:paraId="1779C4F8">
      <w:pPr>
        <w:pStyle w:val="52"/>
        <w:bidi w:val="0"/>
        <w:rPr>
          <w:rFonts w:hint="eastAsia"/>
          <w:lang w:eastAsia="zh-CN"/>
        </w:rPr>
      </w:pPr>
      <w:r>
        <w:rPr>
          <w:rFonts w:hint="eastAsia"/>
          <w:lang w:eastAsia="zh-CN"/>
        </w:rPr>
        <w:t>目</w:t>
      </w:r>
      <w:bookmarkStart w:id="20" w:name="BKML"/>
      <w:r>
        <w:rPr>
          <w:rFonts w:hint="eastAsia"/>
          <w:lang w:eastAsia="zh-CN"/>
        </w:rPr>
        <w:t>  次</w:t>
      </w:r>
      <w:bookmarkEnd w:id="20"/>
    </w:p>
    <w:p w14:paraId="4103DE42">
      <w:pPr>
        <w:pStyle w:val="16"/>
        <w:tabs>
          <w:tab w:val="right" w:leader="dot" w:pos="9354"/>
          <w:tab w:val="clear" w:pos="9242"/>
        </w:tabs>
        <w:spacing w:before="78" w:after="78"/>
      </w:pPr>
      <w:r>
        <w:rPr>
          <w:rFonts w:hint="eastAsia"/>
          <w:lang w:eastAsia="zh-CN"/>
        </w:rPr>
        <w:fldChar w:fldCharType="begin" w:fldLock="1"/>
      </w:r>
      <w:r>
        <w:rPr>
          <w:rFonts w:hint="eastAsia"/>
          <w:lang w:eastAsia="zh-CN"/>
        </w:rPr>
        <w:instrText xml:space="preserve"> TOC \h \z \t"前言、引言标题,1,参考文献、索引标题,1,章标题,1,参考文献,1,附录标识,1,一级条标题, 3,二级条标题, 4" \* MERGEFORMAT </w:instrText>
      </w:r>
      <w:r>
        <w:rPr>
          <w:rFonts w:hint="eastAsia"/>
          <w:lang w:eastAsia="zh-CN"/>
        </w:rPr>
        <w:fldChar w:fldCharType="separate"/>
      </w:r>
      <w:r>
        <w:fldChar w:fldCharType="begin"/>
      </w:r>
      <w:r>
        <w:instrText xml:space="preserve"> HYPERLINK \l "_Toc2053" </w:instrText>
      </w:r>
      <w:r>
        <w:fldChar w:fldCharType="separate"/>
      </w:r>
      <w:r>
        <w:rPr>
          <w:rFonts w:hint="eastAsia"/>
        </w:rPr>
        <w:t>前  </w:t>
      </w:r>
      <w:r>
        <w:rPr>
          <w:rFonts w:hint="eastAsia" w:hAnsi="宋体" w:cs="宋体"/>
        </w:rPr>
        <w:t>言</w:t>
      </w:r>
      <w:r>
        <w:tab/>
      </w:r>
      <w:r>
        <w:fldChar w:fldCharType="begin"/>
      </w:r>
      <w:r>
        <w:instrText xml:space="preserve"> PAGEREF _Toc2053 \h </w:instrText>
      </w:r>
      <w:r>
        <w:fldChar w:fldCharType="separate"/>
      </w:r>
      <w:r>
        <w:t>II</w:t>
      </w:r>
      <w:r>
        <w:fldChar w:fldCharType="end"/>
      </w:r>
      <w:r>
        <w:fldChar w:fldCharType="end"/>
      </w:r>
    </w:p>
    <w:p w14:paraId="7D5342FA">
      <w:pPr>
        <w:pStyle w:val="16"/>
        <w:tabs>
          <w:tab w:val="right" w:leader="dot" w:pos="9354"/>
          <w:tab w:val="clear" w:pos="9242"/>
        </w:tabs>
        <w:spacing w:before="78" w:after="78"/>
      </w:pPr>
      <w:r>
        <w:fldChar w:fldCharType="begin"/>
      </w:r>
      <w:r>
        <w:instrText xml:space="preserve"> HYPERLINK \l "_Toc30415" </w:instrText>
      </w:r>
      <w:r>
        <w:fldChar w:fldCharType="separate"/>
      </w:r>
      <w:r>
        <w:rPr>
          <w:rFonts w:hint="eastAsia" w:ascii="黑体" w:eastAsia="黑体"/>
        </w:rPr>
        <w:t>1　</w:t>
      </w:r>
      <w:r>
        <w:rPr>
          <w:rFonts w:hint="eastAsia"/>
        </w:rPr>
        <w:t>范围</w:t>
      </w:r>
      <w:r>
        <w:tab/>
      </w:r>
      <w:r>
        <w:fldChar w:fldCharType="begin"/>
      </w:r>
      <w:r>
        <w:instrText xml:space="preserve"> PAGEREF _Toc30415 \h </w:instrText>
      </w:r>
      <w:r>
        <w:fldChar w:fldCharType="separate"/>
      </w:r>
      <w:r>
        <w:t>1</w:t>
      </w:r>
      <w:r>
        <w:fldChar w:fldCharType="end"/>
      </w:r>
      <w:r>
        <w:fldChar w:fldCharType="end"/>
      </w:r>
    </w:p>
    <w:p w14:paraId="781A9298">
      <w:pPr>
        <w:pStyle w:val="16"/>
        <w:tabs>
          <w:tab w:val="right" w:leader="dot" w:pos="9354"/>
          <w:tab w:val="clear" w:pos="9242"/>
        </w:tabs>
        <w:spacing w:before="78" w:after="78"/>
      </w:pPr>
      <w:r>
        <w:fldChar w:fldCharType="begin"/>
      </w:r>
      <w:r>
        <w:instrText xml:space="preserve"> HYPERLINK \l "_Toc23479" </w:instrText>
      </w:r>
      <w:r>
        <w:fldChar w:fldCharType="separate"/>
      </w:r>
      <w:r>
        <w:rPr>
          <w:rFonts w:hint="eastAsia" w:ascii="黑体" w:eastAsia="黑体"/>
        </w:rPr>
        <w:t>2　</w:t>
      </w:r>
      <w:r>
        <w:rPr>
          <w:rFonts w:hint="eastAsia"/>
        </w:rPr>
        <w:t>规范性引用文件</w:t>
      </w:r>
      <w:r>
        <w:tab/>
      </w:r>
      <w:r>
        <w:fldChar w:fldCharType="begin"/>
      </w:r>
      <w:r>
        <w:instrText xml:space="preserve"> PAGEREF _Toc23479 \h </w:instrText>
      </w:r>
      <w:r>
        <w:fldChar w:fldCharType="separate"/>
      </w:r>
      <w:r>
        <w:t>1</w:t>
      </w:r>
      <w:r>
        <w:fldChar w:fldCharType="end"/>
      </w:r>
      <w:r>
        <w:fldChar w:fldCharType="end"/>
      </w:r>
    </w:p>
    <w:p w14:paraId="40D47876">
      <w:pPr>
        <w:pStyle w:val="16"/>
        <w:tabs>
          <w:tab w:val="right" w:leader="dot" w:pos="9354"/>
          <w:tab w:val="clear" w:pos="9242"/>
        </w:tabs>
        <w:spacing w:before="78" w:after="78"/>
      </w:pPr>
      <w:r>
        <w:fldChar w:fldCharType="begin"/>
      </w:r>
      <w:r>
        <w:instrText xml:space="preserve"> HYPERLINK \l "_Toc3228" </w:instrText>
      </w:r>
      <w:r>
        <w:fldChar w:fldCharType="separate"/>
      </w:r>
      <w:r>
        <w:rPr>
          <w:rFonts w:hint="eastAsia" w:ascii="黑体" w:eastAsia="黑体"/>
        </w:rPr>
        <w:t>3　</w:t>
      </w:r>
      <w:r>
        <w:rPr>
          <w:rFonts w:hint="eastAsia"/>
        </w:rPr>
        <w:t>术语和定义</w:t>
      </w:r>
      <w:r>
        <w:tab/>
      </w:r>
      <w:r>
        <w:rPr>
          <w:rFonts w:hint="eastAsia"/>
          <w:lang w:val="en-US" w:eastAsia="zh-CN"/>
        </w:rPr>
        <w:t>2</w:t>
      </w:r>
      <w:r>
        <w:fldChar w:fldCharType="end"/>
      </w:r>
    </w:p>
    <w:p w14:paraId="75094424">
      <w:pPr>
        <w:pStyle w:val="16"/>
        <w:tabs>
          <w:tab w:val="right" w:leader="dot" w:pos="9354"/>
          <w:tab w:val="clear" w:pos="9242"/>
        </w:tabs>
        <w:spacing w:before="78" w:after="78"/>
        <w:rPr>
          <w:rFonts w:hint="eastAsia"/>
        </w:rPr>
      </w:pPr>
      <w:r>
        <w:rPr>
          <w:rFonts w:hint="eastAsia"/>
        </w:rPr>
        <w:fldChar w:fldCharType="begin"/>
      </w:r>
      <w:r>
        <w:rPr>
          <w:rFonts w:hint="eastAsia"/>
        </w:rPr>
        <w:instrText xml:space="preserve"> HYPERLINK \l "_Toc3196" </w:instrText>
      </w:r>
      <w:r>
        <w:rPr>
          <w:rFonts w:hint="eastAsia"/>
        </w:rPr>
        <w:fldChar w:fldCharType="separate"/>
      </w:r>
      <w:r>
        <w:rPr>
          <w:rFonts w:hint="eastAsia" w:ascii="黑体" w:hAnsi="Times New Roman" w:eastAsia="黑体" w:cs="Times New Roman"/>
        </w:rPr>
        <w:t>4</w:t>
      </w:r>
      <w:r>
        <w:rPr>
          <w:rFonts w:hint="eastAsia"/>
        </w:rPr>
        <w:t>　</w:t>
      </w:r>
      <w:r>
        <w:rPr>
          <w:rFonts w:hint="eastAsia"/>
          <w:lang w:val="en-US" w:eastAsia="zh-CN"/>
        </w:rPr>
        <w:t>基本原则</w:t>
      </w:r>
      <w:r>
        <w:rPr>
          <w:rFonts w:hint="eastAsia"/>
        </w:rPr>
        <w:tab/>
      </w:r>
      <w:r>
        <w:rPr>
          <w:rFonts w:hint="eastAsia"/>
        </w:rPr>
        <w:t>2</w:t>
      </w:r>
      <w:r>
        <w:rPr>
          <w:rFonts w:hint="eastAsia"/>
        </w:rPr>
        <w:fldChar w:fldCharType="end"/>
      </w:r>
    </w:p>
    <w:p w14:paraId="0B722AB0">
      <w:pPr>
        <w:pStyle w:val="16"/>
        <w:tabs>
          <w:tab w:val="right" w:leader="dot" w:pos="9354"/>
          <w:tab w:val="clear" w:pos="9242"/>
        </w:tabs>
        <w:spacing w:before="78" w:after="78"/>
        <w:rPr>
          <w:rFonts w:hint="eastAsia"/>
        </w:rPr>
      </w:pPr>
      <w:r>
        <w:rPr>
          <w:rFonts w:hint="eastAsia"/>
        </w:rPr>
        <w:fldChar w:fldCharType="begin"/>
      </w:r>
      <w:r>
        <w:rPr>
          <w:rFonts w:hint="eastAsia"/>
        </w:rPr>
        <w:instrText xml:space="preserve"> HYPERLINK \l "_Toc18804" </w:instrText>
      </w:r>
      <w:r>
        <w:rPr>
          <w:rFonts w:hint="eastAsia"/>
        </w:rPr>
        <w:fldChar w:fldCharType="separate"/>
      </w:r>
      <w:r>
        <w:rPr>
          <w:rFonts w:hint="eastAsia" w:ascii="黑体" w:hAnsi="Times New Roman" w:eastAsia="黑体" w:cs="Times New Roman"/>
        </w:rPr>
        <w:t>5</w:t>
      </w:r>
      <w:r>
        <w:rPr>
          <w:rFonts w:hint="eastAsia"/>
        </w:rPr>
        <w:t>　</w:t>
      </w:r>
      <w:r>
        <w:rPr>
          <w:rFonts w:hint="eastAsia" w:hAnsi="Times New Roman" w:cs="Times New Roman"/>
          <w:lang w:val="en-US" w:eastAsia="zh-CN"/>
        </w:rPr>
        <w:t>加工条件要求</w:t>
      </w:r>
      <w:r>
        <w:rPr>
          <w:rFonts w:hint="eastAsia"/>
        </w:rPr>
        <w:tab/>
      </w:r>
      <w:r>
        <w:rPr>
          <w:rFonts w:hint="eastAsia"/>
          <w:lang w:val="en-US" w:eastAsia="zh-CN"/>
        </w:rPr>
        <w:t>3</w:t>
      </w:r>
      <w:r>
        <w:rPr>
          <w:rFonts w:hint="eastAsia"/>
        </w:rPr>
        <w:fldChar w:fldCharType="end"/>
      </w:r>
    </w:p>
    <w:p w14:paraId="0FC85FF2">
      <w:pPr>
        <w:pStyle w:val="16"/>
        <w:tabs>
          <w:tab w:val="right" w:leader="dot" w:pos="9354"/>
          <w:tab w:val="clear" w:pos="9242"/>
        </w:tabs>
        <w:spacing w:before="78" w:after="78"/>
        <w:rPr>
          <w:rFonts w:hint="eastAsia"/>
        </w:rPr>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rPr>
        <w:t>6</w:t>
      </w:r>
      <w:r>
        <w:rPr>
          <w:rFonts w:hint="eastAsia"/>
        </w:rPr>
        <w:t>　</w:t>
      </w:r>
      <w:r>
        <w:rPr>
          <w:rFonts w:hint="eastAsia"/>
          <w:lang w:val="en-US" w:eastAsia="zh-CN"/>
        </w:rPr>
        <w:t>加工技术</w:t>
      </w:r>
      <w:r>
        <w:rPr>
          <w:rFonts w:hint="eastAsia"/>
        </w:rPr>
        <w:tab/>
      </w:r>
      <w:r>
        <w:rPr>
          <w:rFonts w:hint="eastAsia"/>
          <w:lang w:val="en-US" w:eastAsia="zh-CN"/>
        </w:rPr>
        <w:t>5</w:t>
      </w:r>
      <w:r>
        <w:rPr>
          <w:rFonts w:hint="eastAsia"/>
        </w:rPr>
        <w:fldChar w:fldCharType="end"/>
      </w:r>
    </w:p>
    <w:p w14:paraId="26270314">
      <w:pPr>
        <w:pStyle w:val="16"/>
        <w:tabs>
          <w:tab w:val="right" w:leader="dot" w:pos="9354"/>
          <w:tab w:val="clear" w:pos="9242"/>
        </w:tabs>
        <w:spacing w:before="78" w:after="78"/>
        <w:rPr>
          <w:rFonts w:hint="eastAsia"/>
        </w:rPr>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7</w:t>
      </w:r>
      <w:r>
        <w:rPr>
          <w:rFonts w:hint="eastAsia"/>
          <w:lang w:val="en-US" w:eastAsia="zh-CN"/>
        </w:rPr>
        <w:t>　污染控制</w:t>
      </w:r>
      <w:r>
        <w:rPr>
          <w:rFonts w:hint="eastAsia"/>
        </w:rPr>
        <w:tab/>
      </w:r>
      <w:r>
        <w:rPr>
          <w:rFonts w:hint="eastAsia"/>
          <w:lang w:val="en-US" w:eastAsia="zh-CN"/>
        </w:rPr>
        <w:t xml:space="preserve"> 6</w:t>
      </w:r>
      <w:r>
        <w:rPr>
          <w:rFonts w:hint="eastAsia"/>
        </w:rPr>
        <w:fldChar w:fldCharType="end"/>
      </w:r>
    </w:p>
    <w:p w14:paraId="07814701">
      <w:pPr>
        <w:pStyle w:val="16"/>
        <w:tabs>
          <w:tab w:val="right" w:leader="dot" w:pos="9354"/>
          <w:tab w:val="clear" w:pos="9242"/>
        </w:tabs>
        <w:spacing w:before="78" w:after="78"/>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8</w:t>
      </w:r>
      <w:r>
        <w:rPr>
          <w:rFonts w:hint="eastAsia"/>
          <w:lang w:val="en-US" w:eastAsia="zh-CN"/>
        </w:rPr>
        <w:t>　标签与标识</w:t>
      </w:r>
      <w:r>
        <w:rPr>
          <w:rFonts w:hint="eastAsia"/>
        </w:rPr>
        <w:tab/>
      </w:r>
      <w:r>
        <w:rPr>
          <w:rFonts w:hint="eastAsia"/>
          <w:lang w:val="en-US" w:eastAsia="zh-CN"/>
        </w:rPr>
        <w:t>6</w:t>
      </w:r>
      <w:r>
        <w:rPr>
          <w:rFonts w:hint="eastAsia"/>
        </w:rPr>
        <w:fldChar w:fldCharType="end"/>
      </w:r>
    </w:p>
    <w:p w14:paraId="775AE051">
      <w:pPr>
        <w:pStyle w:val="16"/>
        <w:tabs>
          <w:tab w:val="right" w:leader="dot" w:pos="9354"/>
          <w:tab w:val="clear" w:pos="9242"/>
        </w:tabs>
        <w:spacing w:before="78" w:after="78"/>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9</w:t>
      </w:r>
      <w:r>
        <w:rPr>
          <w:rFonts w:hint="eastAsia"/>
          <w:lang w:val="en-US" w:eastAsia="zh-CN"/>
        </w:rPr>
        <w:t>　检验</w:t>
      </w:r>
      <w:r>
        <w:rPr>
          <w:rFonts w:hint="eastAsia"/>
        </w:rPr>
        <w:tab/>
      </w:r>
      <w:r>
        <w:rPr>
          <w:rFonts w:hint="eastAsia"/>
          <w:lang w:val="en-US" w:eastAsia="zh-CN"/>
        </w:rPr>
        <w:t>6</w:t>
      </w:r>
      <w:r>
        <w:rPr>
          <w:rFonts w:hint="eastAsia"/>
        </w:rPr>
        <w:fldChar w:fldCharType="end"/>
      </w:r>
    </w:p>
    <w:p w14:paraId="005CC1EE">
      <w:pPr>
        <w:pStyle w:val="16"/>
        <w:tabs>
          <w:tab w:val="right" w:leader="dot" w:pos="9354"/>
          <w:tab w:val="clear" w:pos="9242"/>
        </w:tabs>
        <w:spacing w:before="78" w:after="78"/>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10</w:t>
      </w:r>
      <w:r>
        <w:rPr>
          <w:rFonts w:hint="eastAsia"/>
          <w:lang w:val="en-US" w:eastAsia="zh-CN"/>
        </w:rPr>
        <w:t>　贮存和运输</w:t>
      </w:r>
      <w:r>
        <w:rPr>
          <w:rFonts w:hint="eastAsia"/>
        </w:rPr>
        <w:tab/>
      </w:r>
      <w:r>
        <w:rPr>
          <w:rFonts w:hint="eastAsia"/>
          <w:lang w:val="en-US" w:eastAsia="zh-CN"/>
        </w:rPr>
        <w:t>7</w:t>
      </w:r>
      <w:r>
        <w:rPr>
          <w:rFonts w:hint="eastAsia"/>
        </w:rPr>
        <w:fldChar w:fldCharType="end"/>
      </w:r>
    </w:p>
    <w:p w14:paraId="73FC0CE2">
      <w:pPr>
        <w:pStyle w:val="16"/>
        <w:tabs>
          <w:tab w:val="right" w:leader="dot" w:pos="9354"/>
          <w:tab w:val="clear" w:pos="9242"/>
        </w:tabs>
        <w:spacing w:before="78" w:after="78"/>
        <w:rPr>
          <w:rFonts w:hint="eastAsia"/>
        </w:rPr>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11</w:t>
      </w:r>
      <w:r>
        <w:rPr>
          <w:rFonts w:hint="eastAsia"/>
          <w:lang w:val="en-US" w:eastAsia="zh-CN"/>
        </w:rPr>
        <w:t>　追溯和召回</w:t>
      </w:r>
      <w:r>
        <w:rPr>
          <w:rFonts w:hint="eastAsia"/>
        </w:rPr>
        <w:tab/>
      </w:r>
      <w:r>
        <w:rPr>
          <w:rFonts w:hint="eastAsia"/>
          <w:lang w:val="en-US" w:eastAsia="zh-CN"/>
        </w:rPr>
        <w:t>7</w:t>
      </w:r>
      <w:r>
        <w:rPr>
          <w:rFonts w:hint="eastAsia"/>
        </w:rPr>
        <w:fldChar w:fldCharType="end"/>
      </w:r>
    </w:p>
    <w:p w14:paraId="0EE164E2">
      <w:pPr>
        <w:pStyle w:val="16"/>
        <w:tabs>
          <w:tab w:val="right" w:leader="dot" w:pos="9354"/>
          <w:tab w:val="clear" w:pos="9242"/>
        </w:tabs>
        <w:spacing w:before="78" w:after="78"/>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12</w:t>
      </w:r>
      <w:r>
        <w:rPr>
          <w:rFonts w:hint="eastAsia"/>
          <w:lang w:val="en-US" w:eastAsia="zh-CN"/>
        </w:rPr>
        <w:t>　培训</w:t>
      </w:r>
      <w:r>
        <w:rPr>
          <w:rFonts w:hint="eastAsia"/>
        </w:rPr>
        <w:tab/>
      </w:r>
      <w:r>
        <w:rPr>
          <w:rFonts w:hint="eastAsia"/>
          <w:lang w:val="en-US" w:eastAsia="zh-CN"/>
        </w:rPr>
        <w:t>7</w:t>
      </w:r>
      <w:r>
        <w:rPr>
          <w:rFonts w:hint="eastAsia"/>
        </w:rPr>
        <w:fldChar w:fldCharType="end"/>
      </w:r>
    </w:p>
    <w:p w14:paraId="31718A98">
      <w:pPr>
        <w:pStyle w:val="16"/>
        <w:tabs>
          <w:tab w:val="right" w:leader="dot" w:pos="9354"/>
          <w:tab w:val="clear" w:pos="9242"/>
        </w:tabs>
        <w:rPr>
          <w:spacing w:val="0"/>
        </w:rPr>
      </w:pPr>
      <w:r>
        <w:rPr>
          <w:rFonts w:hint="eastAsia"/>
        </w:rPr>
        <w:fldChar w:fldCharType="begin"/>
      </w:r>
      <w:r>
        <w:rPr>
          <w:rFonts w:hint="eastAsia"/>
        </w:rPr>
        <w:instrText xml:space="preserve"> HYPERLINK \l "_Toc16564" </w:instrText>
      </w:r>
      <w:r>
        <w:rPr>
          <w:rFonts w:hint="eastAsia"/>
        </w:rPr>
        <w:fldChar w:fldCharType="separate"/>
      </w:r>
      <w:r>
        <w:rPr>
          <w:rFonts w:hint="eastAsia" w:ascii="黑体" w:hAnsi="Times New Roman" w:eastAsia="黑体" w:cs="Times New Roman"/>
          <w:lang w:val="en-US" w:eastAsia="zh-CN"/>
        </w:rPr>
        <w:t>13</w:t>
      </w:r>
      <w:r>
        <w:rPr>
          <w:rFonts w:hint="eastAsia"/>
          <w:lang w:val="en-US" w:eastAsia="zh-CN"/>
        </w:rPr>
        <w:t>　记录和文件管理</w:t>
      </w:r>
      <w:r>
        <w:rPr>
          <w:rFonts w:hint="eastAsia"/>
        </w:rPr>
        <w:tab/>
      </w:r>
      <w:r>
        <w:rPr>
          <w:rFonts w:hint="eastAsia"/>
          <w:lang w:val="en-US" w:eastAsia="zh-CN"/>
        </w:rPr>
        <w:t>7</w:t>
      </w:r>
      <w:r>
        <w:rPr>
          <w:rFonts w:hint="eastAsia"/>
        </w:rPr>
        <w:fldChar w:fldCharType="end"/>
      </w:r>
    </w:p>
    <w:p w14:paraId="59F6AB8E">
      <w:pPr>
        <w:pStyle w:val="20"/>
        <w:rPr>
          <w:rFonts w:hint="eastAsia"/>
          <w:lang w:eastAsia="zh-CN"/>
        </w:rPr>
      </w:pPr>
      <w:r>
        <w:rPr>
          <w:rFonts w:hint="eastAsia"/>
          <w:lang w:eastAsia="zh-CN"/>
        </w:rPr>
        <w:fldChar w:fldCharType="end"/>
      </w:r>
    </w:p>
    <w:p w14:paraId="0C7F9FD6">
      <w:pPr>
        <w:pStyle w:val="104"/>
        <w:bidi w:val="0"/>
        <w:rPr>
          <w:rFonts w:hint="eastAsia"/>
          <w:lang w:eastAsia="zh-CN"/>
        </w:rPr>
      </w:pPr>
      <w:bookmarkStart w:id="21" w:name="_Toc2053"/>
      <w:r>
        <w:rPr>
          <w:rFonts w:hint="eastAsia"/>
          <w:lang w:eastAsia="zh-CN"/>
        </w:rPr>
        <w:t>前</w:t>
      </w:r>
      <w:bookmarkStart w:id="22" w:name="BKQY"/>
      <w:r>
        <w:rPr>
          <w:rFonts w:hint="eastAsia"/>
          <w:lang w:eastAsia="zh-CN"/>
        </w:rPr>
        <w:t>  言</w:t>
      </w:r>
      <w:bookmarkEnd w:id="21"/>
      <w:bookmarkEnd w:id="22"/>
    </w:p>
    <w:p w14:paraId="14B4BB3F">
      <w:pPr>
        <w:pStyle w:val="20"/>
        <w:rPr>
          <w:rFonts w:hint="eastAsia"/>
          <w:lang w:eastAsia="zh-CN"/>
        </w:rPr>
      </w:pPr>
    </w:p>
    <w:p w14:paraId="36EC37CB">
      <w:pPr>
        <w:pStyle w:val="20"/>
      </w:pPr>
      <w:r>
        <w:rPr>
          <w:rFonts w:hint="eastAsia"/>
        </w:rPr>
        <w:t>本文件按照GB/T 1.1-2020《标准化工作导则 第1部分：标准化文件的机构和起草规则》的规定起草。</w:t>
      </w:r>
    </w:p>
    <w:p w14:paraId="2413C01D">
      <w:pPr>
        <w:pStyle w:val="20"/>
      </w:pPr>
      <w:r>
        <w:rPr>
          <w:rFonts w:hint="eastAsia"/>
        </w:rPr>
        <w:t>本文件由陕西省市场监督管理局提出并归口。</w:t>
      </w:r>
    </w:p>
    <w:p w14:paraId="65545987">
      <w:pPr>
        <w:spacing w:line="276" w:lineRule="auto"/>
        <w:ind w:firstLine="437"/>
        <w:rPr>
          <w:rFonts w:hint="eastAsia" w:ascii="宋体" w:eastAsia="宋体"/>
          <w:szCs w:val="32"/>
          <w:lang w:val="en-US" w:eastAsia="zh-CN"/>
        </w:rPr>
      </w:pPr>
      <w:r>
        <w:rPr>
          <w:rFonts w:hint="eastAsia" w:ascii="宋体" w:hAnsi="宋体"/>
        </w:rPr>
        <w:t>本文件起草单位：</w:t>
      </w:r>
      <w:r>
        <w:rPr>
          <w:rFonts w:hint="eastAsia" w:eastAsia="宋体" w:cs="Times New Roman"/>
          <w:szCs w:val="21"/>
        </w:rPr>
        <w:t>陕西省产品质量监督检验研究院</w:t>
      </w:r>
      <w:r>
        <w:rPr>
          <w:rFonts w:hint="eastAsia" w:eastAsia="宋体" w:cs="Times New Roman"/>
          <w:szCs w:val="21"/>
          <w:lang w:eastAsia="zh-CN"/>
        </w:rPr>
        <w:t>、</w:t>
      </w:r>
      <w:r>
        <w:rPr>
          <w:rFonts w:hint="eastAsia" w:eastAsia="宋体" w:cs="Times New Roman"/>
          <w:szCs w:val="21"/>
          <w:lang w:val="en-US" w:eastAsia="zh-CN"/>
        </w:rPr>
        <w:t>必维科技服务（西安）有限公司、丰厨（陕西）食品科技有限公司。</w:t>
      </w:r>
    </w:p>
    <w:p w14:paraId="3D160D6D">
      <w:pPr>
        <w:pStyle w:val="20"/>
        <w:spacing w:line="276" w:lineRule="auto"/>
        <w:ind w:firstLine="420"/>
        <w:rPr>
          <w:rFonts w:hint="eastAsia" w:ascii="Calibri" w:hAnsi="Calibri" w:eastAsia="宋体" w:cs="Times New Roman"/>
          <w:kern w:val="2"/>
          <w:sz w:val="21"/>
          <w:szCs w:val="21"/>
          <w:lang w:val="en-US" w:eastAsia="zh-CN" w:bidi="ar-SA"/>
        </w:rPr>
      </w:pPr>
      <w:r>
        <w:rPr>
          <w:rFonts w:hint="eastAsia"/>
        </w:rPr>
        <w:t>本文件主要起草人：</w:t>
      </w:r>
      <w:r>
        <w:rPr>
          <w:rFonts w:hint="eastAsia" w:ascii="Calibri" w:hAnsi="Calibri" w:eastAsia="宋体" w:cs="Times New Roman"/>
          <w:kern w:val="2"/>
          <w:sz w:val="21"/>
          <w:szCs w:val="21"/>
          <w:lang w:val="en-US" w:eastAsia="zh-CN" w:bidi="ar-SA"/>
        </w:rPr>
        <w:t>安瑜、康婕、刘静、张颖坤、王丹丹、王冀成、董伟、徐雪军 刘怡笑。</w:t>
      </w:r>
    </w:p>
    <w:p w14:paraId="025AC5DE">
      <w:pPr>
        <w:pStyle w:val="20"/>
      </w:pPr>
      <w:r>
        <w:rPr>
          <w:rFonts w:hint="eastAsia" w:ascii="Times New Roman"/>
          <w:lang w:val="en-US" w:eastAsia="zh-CN"/>
        </w:rPr>
        <w:t xml:space="preserve"> </w:t>
      </w:r>
    </w:p>
    <w:p w14:paraId="2393DFE2">
      <w:pPr>
        <w:pStyle w:val="20"/>
      </w:pPr>
      <w:r>
        <w:rPr>
          <w:rFonts w:hint="eastAsia"/>
        </w:rPr>
        <w:t>本文件首次发布。</w:t>
      </w:r>
    </w:p>
    <w:p w14:paraId="0254A865">
      <w:pPr>
        <w:pStyle w:val="20"/>
      </w:pPr>
      <w:r>
        <w:rPr>
          <w:rFonts w:hint="eastAsia"/>
        </w:rPr>
        <w:t>本文件由陕西省市场监督管理局负责解释。</w:t>
      </w:r>
    </w:p>
    <w:p w14:paraId="65FADD28">
      <w:pPr>
        <w:pStyle w:val="20"/>
      </w:pPr>
    </w:p>
    <w:p w14:paraId="21AC34A9">
      <w:pPr>
        <w:pStyle w:val="20"/>
        <w:ind w:left="0" w:leftChars="0" w:firstLine="0" w:firstLineChars="0"/>
        <w:rPr>
          <w:rFonts w:hint="eastAsia"/>
          <w:lang w:val="en-US" w:eastAsia="zh-CN"/>
        </w:rPr>
      </w:pPr>
    </w:p>
    <w:p w14:paraId="56F8DE9F">
      <w:pPr>
        <w:pStyle w:val="20"/>
        <w:ind w:left="0" w:leftChars="0" w:firstLine="0" w:firstLineChars="0"/>
        <w:rPr>
          <w:rFonts w:hint="default"/>
          <w:lang w:val="en-US" w:eastAsia="zh-CN"/>
        </w:rPr>
        <w:sectPr>
          <w:headerReference r:id="rId7" w:type="default"/>
          <w:footerReference r:id="rId8" w:type="default"/>
          <w:pgSz w:w="11906" w:h="16838"/>
          <w:pgMar w:top="567" w:right="1134" w:bottom="1134" w:left="1418" w:header="1418" w:footer="1134" w:gutter="0"/>
          <w:pgNumType w:fmt="upperRoman" w:start="1"/>
          <w:cols w:space="720" w:num="1"/>
          <w:formProt w:val="0"/>
          <w:docGrid w:type="lines" w:linePitch="312" w:charSpace="0"/>
        </w:sectPr>
      </w:pPr>
      <w:bookmarkStart w:id="38" w:name="_GoBack"/>
      <w:bookmarkEnd w:id="38"/>
    </w:p>
    <w:p w14:paraId="7CBDBD71">
      <w:pPr>
        <w:pStyle w:val="52"/>
      </w:pPr>
      <w:bookmarkStart w:id="23" w:name="_Toc30415"/>
      <w:r>
        <w:rPr>
          <w:rFonts w:hint="eastAsia"/>
        </w:rPr>
        <w:t>预制菜加工技术规范 第</w:t>
      </w:r>
      <w:r>
        <w:rPr>
          <w:rFonts w:hint="eastAsia"/>
          <w:lang w:val="en-US" w:eastAsia="zh-CN"/>
        </w:rPr>
        <w:t>3</w:t>
      </w:r>
      <w:r>
        <w:rPr>
          <w:rFonts w:hint="eastAsia"/>
        </w:rPr>
        <w:t>部分：即烹预制菜</w:t>
      </w:r>
    </w:p>
    <w:p w14:paraId="011EB996">
      <w:pPr>
        <w:pStyle w:val="38"/>
        <w:rPr>
          <w:rFonts w:hint="eastAsia"/>
        </w:rPr>
      </w:pPr>
      <w:r>
        <w:rPr>
          <w:rFonts w:hint="eastAsia"/>
        </w:rPr>
        <w:t>范围</w:t>
      </w:r>
      <w:bookmarkEnd w:id="23"/>
    </w:p>
    <w:p w14:paraId="74534399">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bookmarkStart w:id="24" w:name="_Toc23479"/>
      <w:r>
        <w:rPr>
          <w:rFonts w:hint="eastAsia" w:ascii="宋体" w:hAnsi="Times New Roman" w:eastAsia="宋体" w:cs="Times New Roman"/>
          <w:kern w:val="0"/>
          <w:sz w:val="21"/>
          <w:szCs w:val="20"/>
          <w:lang w:val="en-US" w:eastAsia="zh-CN" w:bidi="ar-SA"/>
        </w:rPr>
        <w:t xml:space="preserve">本文件规定了即烹预制菜的术语和定义、原料、食品添加剂和食品相关产品、加工条件要求、加工工艺流程、加工技术、异物检测、标签与标识、检验、贮存和运输、产品追溯和召回、培训、记录和文件的管理等要求，描述了对应的证实方法。 </w:t>
      </w:r>
    </w:p>
    <w:p w14:paraId="09570FCE">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pPr>
      <w:r>
        <w:rPr>
          <w:rFonts w:hint="eastAsia" w:ascii="宋体" w:hAnsi="Times New Roman" w:eastAsia="宋体" w:cs="Times New Roman"/>
          <w:kern w:val="0"/>
          <w:sz w:val="21"/>
          <w:szCs w:val="20"/>
          <w:lang w:val="en-US" w:eastAsia="zh-CN" w:bidi="ar-SA"/>
        </w:rPr>
        <w:t>本文件适用于即烹预制菜生产企业产品生产过程技术规范管理。</w:t>
      </w:r>
    </w:p>
    <w:p w14:paraId="7205711F">
      <w:pPr>
        <w:pStyle w:val="38"/>
        <w:rPr>
          <w:rFonts w:hint="eastAsia"/>
        </w:rPr>
      </w:pPr>
      <w:r>
        <w:rPr>
          <w:rFonts w:hint="eastAsia"/>
        </w:rPr>
        <w:t>规范性引用文件</w:t>
      </w:r>
      <w:bookmarkEnd w:id="24"/>
    </w:p>
    <w:p w14:paraId="6105446A">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054782D">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 xml:space="preserve">GB 2707食品安全国家标准 鲜（冻）畜、禽产品 </w:t>
      </w:r>
    </w:p>
    <w:p w14:paraId="4794A5E6">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2712食品安全国家标准 豆制品</w:t>
      </w:r>
    </w:p>
    <w:p w14:paraId="6E9F3372">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2715食品安全国家标准 粮食</w:t>
      </w:r>
    </w:p>
    <w:p w14:paraId="19EAA44E">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2733食品安全国家标准 鲜、冻动物性水产品</w:t>
      </w:r>
    </w:p>
    <w:p w14:paraId="02062135">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2749食品安全国家标准 蛋与蛋制品</w:t>
      </w:r>
    </w:p>
    <w:p w14:paraId="7DCDA2C8">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 xml:space="preserve">GB 2760 食品安全国家标准 食品添加剂使用标准 </w:t>
      </w:r>
    </w:p>
    <w:p w14:paraId="2BFA3C57">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5749 生活饮用水卫生标准</w:t>
      </w:r>
    </w:p>
    <w:p w14:paraId="4F3005A5">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7096 食品安全国家标准 食用菌及其制品</w:t>
      </w:r>
    </w:p>
    <w:p w14:paraId="08AE0409">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7718 食品安全国家标准 预包装食品标签通则</w:t>
      </w:r>
    </w:p>
    <w:p w14:paraId="772E548E">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9683 复合食品包装袋卫生标准</w:t>
      </w:r>
    </w:p>
    <w:p w14:paraId="134EA4E4">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4806.1</w:t>
      </w:r>
      <w:r>
        <w:rPr>
          <w:rFonts w:hint="eastAsia" w:cs="Times New Roman"/>
          <w:kern w:val="0"/>
          <w:sz w:val="21"/>
          <w:szCs w:val="20"/>
          <w:lang w:val="en-US" w:eastAsia="zh-CN" w:bidi="ar-SA"/>
        </w:rPr>
        <w:t>3</w:t>
      </w:r>
      <w:r>
        <w:rPr>
          <w:rFonts w:hint="default" w:ascii="Times New Roman" w:hAnsi="Times New Roman" w:eastAsia="宋体" w:cs="Times New Roman"/>
          <w:kern w:val="0"/>
          <w:sz w:val="21"/>
          <w:szCs w:val="20"/>
          <w:lang w:val="en-US" w:eastAsia="zh-CN" w:bidi="ar-SA"/>
        </w:rPr>
        <w:t xml:space="preserve"> 食品安全国家标准 食品接触用复合材料及制品</w:t>
      </w:r>
    </w:p>
    <w:p w14:paraId="132940A5">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10133 食品安全国家标准 水产调味品</w:t>
      </w:r>
    </w:p>
    <w:p w14:paraId="21C5B579">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13104 食品安全国家标准 食糖</w:t>
      </w:r>
    </w:p>
    <w:p w14:paraId="4066AA09">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14881 食品安全国家标准 食品生产通用卫生规范</w:t>
      </w:r>
    </w:p>
    <w:p w14:paraId="37BB699A">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14930.1 食品安全国家标准 洗涤剂</w:t>
      </w:r>
    </w:p>
    <w:p w14:paraId="3489DA32">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14930.2 食品安全国家标准 消毒剂</w:t>
      </w:r>
    </w:p>
    <w:p w14:paraId="6106AA46">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GB/T 15691 香辛料调味品通用技术条件</w:t>
      </w:r>
    </w:p>
    <w:p w14:paraId="4D0BE910">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GB/T 19001 质量管理体系</w:t>
      </w:r>
      <w:r>
        <w:rPr>
          <w:rFonts w:hint="eastAsia" w:cs="Times New Roman"/>
          <w:kern w:val="0"/>
          <w:sz w:val="21"/>
          <w:szCs w:val="20"/>
          <w:lang w:val="en-US" w:eastAsia="zh-CN" w:bidi="ar-SA"/>
        </w:rPr>
        <w:t xml:space="preserve"> </w:t>
      </w:r>
      <w:r>
        <w:rPr>
          <w:rFonts w:hint="default" w:ascii="Times New Roman" w:hAnsi="Times New Roman" w:eastAsia="宋体" w:cs="Times New Roman"/>
          <w:kern w:val="0"/>
          <w:sz w:val="21"/>
          <w:szCs w:val="20"/>
          <w:lang w:val="en-US" w:eastAsia="zh-CN" w:bidi="ar-SA"/>
        </w:rPr>
        <w:t xml:space="preserve">要求 </w:t>
      </w:r>
    </w:p>
    <w:p w14:paraId="257A64E3">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19300食品安全国家标准 坚果与籽类食品</w:t>
      </w:r>
    </w:p>
    <w:p w14:paraId="76D1BB5D">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28050 食品安全国家标准 预包装食品营养标签通则</w:t>
      </w:r>
    </w:p>
    <w:p w14:paraId="75113A1F">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29921 食品安全国家标准 预包装食品中致病菌限量</w:t>
      </w:r>
    </w:p>
    <w:p w14:paraId="53E0CC19">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GB/T 30768 食品包装用纸与塑料复合膜、袋</w:t>
      </w:r>
    </w:p>
    <w:p w14:paraId="690D1D8E">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31646食品安全国家标准 速冻食品生产和经营卫生规范</w:t>
      </w:r>
    </w:p>
    <w:p w14:paraId="48FE33AF">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 31652食品安全国家标准</w:t>
      </w:r>
      <w:r>
        <w:rPr>
          <w:rFonts w:hint="eastAsia" w:cs="Times New Roman"/>
          <w:kern w:val="0"/>
          <w:sz w:val="21"/>
          <w:szCs w:val="20"/>
          <w:lang w:val="en-US" w:eastAsia="zh-CN" w:bidi="ar-SA"/>
        </w:rPr>
        <w:t xml:space="preserve"> </w:t>
      </w:r>
      <w:r>
        <w:rPr>
          <w:rFonts w:hint="default" w:ascii="Times New Roman" w:hAnsi="Times New Roman" w:eastAsia="宋体" w:cs="Times New Roman"/>
          <w:kern w:val="0"/>
          <w:sz w:val="21"/>
          <w:szCs w:val="20"/>
          <w:lang w:val="en-US" w:eastAsia="zh-CN" w:bidi="ar-SA"/>
        </w:rPr>
        <w:t>即食鲜切果蔬加工卫生规范</w:t>
      </w:r>
    </w:p>
    <w:p w14:paraId="06ADF30D">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《定量包装商品计量监督管理办法》国家市场监督管理总局【20</w:t>
      </w:r>
      <w:r>
        <w:rPr>
          <w:rFonts w:hint="eastAsia" w:cs="Times New Roman"/>
          <w:kern w:val="0"/>
          <w:sz w:val="21"/>
          <w:szCs w:val="20"/>
          <w:lang w:val="en-US" w:eastAsia="zh-CN" w:bidi="ar-SA"/>
        </w:rPr>
        <w:t>23</w:t>
      </w:r>
      <w:r>
        <w:rPr>
          <w:rFonts w:hint="default" w:ascii="Times New Roman" w:hAnsi="Times New Roman" w:eastAsia="宋体" w:cs="Times New Roman"/>
          <w:kern w:val="0"/>
          <w:sz w:val="21"/>
          <w:szCs w:val="20"/>
          <w:lang w:val="en-US" w:eastAsia="zh-CN" w:bidi="ar-SA"/>
        </w:rPr>
        <w:t>】第7</w:t>
      </w:r>
      <w:r>
        <w:rPr>
          <w:rFonts w:hint="eastAsia" w:cs="Times New Roman"/>
          <w:kern w:val="0"/>
          <w:sz w:val="21"/>
          <w:szCs w:val="20"/>
          <w:lang w:val="en-US" w:eastAsia="zh-CN" w:bidi="ar-SA"/>
        </w:rPr>
        <w:t>0</w:t>
      </w:r>
      <w:r>
        <w:rPr>
          <w:rFonts w:hint="default" w:ascii="Times New Roman" w:hAnsi="Times New Roman" w:eastAsia="宋体" w:cs="Times New Roman"/>
          <w:kern w:val="0"/>
          <w:sz w:val="21"/>
          <w:szCs w:val="20"/>
          <w:lang w:val="en-US" w:eastAsia="zh-CN" w:bidi="ar-SA"/>
        </w:rPr>
        <w:t>号令</w:t>
      </w:r>
    </w:p>
    <w:p w14:paraId="43F3794D">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eastAsia" w:cs="Times New Roman"/>
          <w:kern w:val="0"/>
          <w:sz w:val="21"/>
          <w:szCs w:val="20"/>
          <w:lang w:val="en-US" w:eastAsia="zh-CN" w:bidi="ar-SA"/>
        </w:rPr>
        <w:t>《</w:t>
      </w:r>
      <w:r>
        <w:rPr>
          <w:rFonts w:hint="default" w:ascii="Times New Roman" w:hAnsi="Times New Roman" w:eastAsia="宋体" w:cs="Times New Roman"/>
          <w:kern w:val="0"/>
          <w:sz w:val="21"/>
          <w:szCs w:val="20"/>
          <w:lang w:val="en-US" w:eastAsia="zh-CN" w:bidi="ar-SA"/>
        </w:rPr>
        <w:t>食品召回管理办法</w:t>
      </w:r>
      <w:r>
        <w:rPr>
          <w:rFonts w:hint="eastAsia"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国家食品药品监督管理总局</w:t>
      </w:r>
      <w:r>
        <w:rPr>
          <w:rFonts w:hint="default" w:ascii="Times New Roman" w:hAnsi="Times New Roman" w:eastAsia="宋体" w:cs="Times New Roman"/>
          <w:kern w:val="0"/>
          <w:sz w:val="21"/>
          <w:szCs w:val="20"/>
          <w:lang w:val="en-US" w:eastAsia="zh-CN" w:bidi="ar-SA"/>
        </w:rPr>
        <w:t>令【20</w:t>
      </w:r>
      <w:r>
        <w:rPr>
          <w:rFonts w:hint="eastAsia" w:cs="Times New Roman"/>
          <w:kern w:val="0"/>
          <w:sz w:val="21"/>
          <w:szCs w:val="20"/>
          <w:lang w:val="en-US" w:eastAsia="zh-CN" w:bidi="ar-SA"/>
        </w:rPr>
        <w:t>15</w:t>
      </w:r>
      <w:r>
        <w:rPr>
          <w:rFonts w:hint="default" w:ascii="Times New Roman" w:hAnsi="Times New Roman" w:eastAsia="宋体" w:cs="Times New Roman"/>
          <w:kern w:val="0"/>
          <w:sz w:val="21"/>
          <w:szCs w:val="20"/>
          <w:lang w:val="en-US" w:eastAsia="zh-CN" w:bidi="ar-SA"/>
        </w:rPr>
        <w:t>】第</w:t>
      </w:r>
      <w:r>
        <w:rPr>
          <w:rFonts w:hint="eastAsia" w:cs="Times New Roman"/>
          <w:kern w:val="0"/>
          <w:sz w:val="21"/>
          <w:szCs w:val="20"/>
          <w:lang w:val="en-US" w:eastAsia="zh-CN" w:bidi="ar-SA"/>
        </w:rPr>
        <w:t>12</w:t>
      </w:r>
      <w:r>
        <w:rPr>
          <w:rFonts w:hint="default" w:ascii="Times New Roman" w:hAnsi="Times New Roman" w:eastAsia="宋体" w:cs="Times New Roman"/>
          <w:kern w:val="0"/>
          <w:sz w:val="21"/>
          <w:szCs w:val="20"/>
          <w:lang w:val="en-US" w:eastAsia="zh-CN" w:bidi="ar-SA"/>
        </w:rPr>
        <w:t>号</w:t>
      </w:r>
      <w:r>
        <w:rPr>
          <w:rFonts w:hint="eastAsia" w:cs="Times New Roman"/>
          <w:kern w:val="0"/>
          <w:sz w:val="21"/>
          <w:szCs w:val="20"/>
          <w:lang w:val="en-US" w:eastAsia="zh-CN" w:bidi="ar-SA"/>
        </w:rPr>
        <w:t>令</w:t>
      </w:r>
    </w:p>
    <w:p w14:paraId="7E5B19DE">
      <w:pPr>
        <w:keepNext w:val="0"/>
        <w:keepLines w:val="0"/>
        <w:pageBreakBefore w:val="0"/>
        <w:widowControl/>
        <w:suppressLineNumbers w:val="0"/>
        <w:kinsoku/>
        <w:wordWrap/>
        <w:overflowPunct/>
        <w:topLinePunct w:val="0"/>
        <w:autoSpaceDE/>
        <w:autoSpaceDN/>
        <w:bidi w:val="0"/>
        <w:adjustRightInd/>
        <w:snapToGrid/>
        <w:spacing w:line="276" w:lineRule="auto"/>
        <w:ind w:firstLine="420" w:firstLineChars="200"/>
        <w:jc w:val="both"/>
        <w:textAlignment w:val="auto"/>
        <w:rPr>
          <w:rFonts w:hint="eastAsia"/>
        </w:rPr>
      </w:pPr>
      <w:r>
        <w:rPr>
          <w:rFonts w:hint="eastAsia" w:cs="Times New Roman"/>
          <w:kern w:val="0"/>
          <w:sz w:val="21"/>
          <w:szCs w:val="20"/>
          <w:lang w:val="en-US" w:eastAsia="zh-CN" w:bidi="ar-SA"/>
        </w:rPr>
        <w:t>《</w:t>
      </w:r>
      <w:r>
        <w:rPr>
          <w:rFonts w:hint="default" w:ascii="Times New Roman" w:hAnsi="Times New Roman" w:eastAsia="宋体" w:cs="Times New Roman"/>
          <w:kern w:val="0"/>
          <w:sz w:val="21"/>
          <w:szCs w:val="20"/>
          <w:lang w:val="en-US" w:eastAsia="zh-CN" w:bidi="ar-SA"/>
        </w:rPr>
        <w:t>食品标识管理规定</w:t>
      </w:r>
      <w:r>
        <w:rPr>
          <w:rFonts w:hint="eastAsia" w:cs="Times New Roman"/>
          <w:kern w:val="0"/>
          <w:sz w:val="21"/>
          <w:szCs w:val="20"/>
          <w:lang w:val="en-US" w:eastAsia="zh-CN" w:bidi="ar-SA"/>
        </w:rPr>
        <w:t>》</w:t>
      </w:r>
      <w:r>
        <w:rPr>
          <w:rFonts w:hint="default" w:ascii="Times New Roman" w:hAnsi="Times New Roman" w:eastAsia="宋体" w:cs="Times New Roman"/>
          <w:kern w:val="0"/>
          <w:sz w:val="21"/>
          <w:szCs w:val="20"/>
          <w:lang w:val="en-US" w:eastAsia="zh-CN" w:bidi="ar-SA"/>
        </w:rPr>
        <w:t>国家质量监督检验检疫总局令【20</w:t>
      </w:r>
      <w:r>
        <w:rPr>
          <w:rFonts w:hint="eastAsia" w:cs="Times New Roman"/>
          <w:kern w:val="0"/>
          <w:sz w:val="21"/>
          <w:szCs w:val="20"/>
          <w:lang w:val="en-US" w:eastAsia="zh-CN" w:bidi="ar-SA"/>
        </w:rPr>
        <w:t>07</w:t>
      </w:r>
      <w:r>
        <w:rPr>
          <w:rFonts w:hint="default" w:ascii="Times New Roman" w:hAnsi="Times New Roman" w:eastAsia="宋体" w:cs="Times New Roman"/>
          <w:kern w:val="0"/>
          <w:sz w:val="21"/>
          <w:szCs w:val="20"/>
          <w:lang w:val="en-US" w:eastAsia="zh-CN" w:bidi="ar-SA"/>
        </w:rPr>
        <w:t>】第102号</w:t>
      </w:r>
    </w:p>
    <w:p w14:paraId="65132FAF">
      <w:pPr>
        <w:pStyle w:val="38"/>
        <w:rPr>
          <w:rFonts w:hint="eastAsia"/>
        </w:rPr>
      </w:pPr>
      <w:bookmarkStart w:id="25" w:name="_Toc3228"/>
      <w:r>
        <w:rPr>
          <w:rFonts w:hint="eastAsia"/>
          <w:lang w:eastAsia="zh-CN"/>
        </w:rPr>
        <w:t>术语和定义</w:t>
      </w:r>
      <w:bookmarkEnd w:id="25"/>
    </w:p>
    <w:p w14:paraId="00E03636">
      <w:pPr>
        <w:pStyle w:val="48"/>
        <w:numPr>
          <w:ilvl w:val="1"/>
          <w:numId w:val="0"/>
        </w:numPr>
        <w:bidi w:val="0"/>
        <w:ind w:leftChars="0"/>
        <w:rPr>
          <w:rFonts w:hint="eastAsia"/>
          <w:lang w:val="en-US" w:eastAsia="zh-CN"/>
        </w:rPr>
      </w:pPr>
      <w:bookmarkStart w:id="26" w:name="_Toc16579"/>
      <w:bookmarkEnd w:id="26"/>
      <w:r>
        <w:rPr>
          <w:rFonts w:hint="eastAsia"/>
          <w:lang w:val="en-US" w:eastAsia="zh-CN"/>
        </w:rPr>
        <w:t>3.1  即烹预制菜</w:t>
      </w:r>
    </w:p>
    <w:p w14:paraId="0C3A8A93">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bookmarkStart w:id="27" w:name="_Toc26819"/>
      <w:bookmarkEnd w:id="27"/>
      <w:bookmarkStart w:id="28" w:name="_Toc3196"/>
      <w:r>
        <w:rPr>
          <w:rFonts w:hint="eastAsia" w:ascii="宋体" w:hAnsi="Times New Roman" w:eastAsia="宋体" w:cs="Times New Roman"/>
          <w:kern w:val="0"/>
          <w:sz w:val="21"/>
          <w:szCs w:val="20"/>
          <w:lang w:val="en-US" w:eastAsia="zh-CN" w:bidi="ar-SA"/>
        </w:rPr>
        <w:t>以畜禽肉、蔬果、水产品、蛋、食用菌、谷物等食材及其制品中的一种或多种为主要原料，经清洗、分切、调制或不调制等预处理，经预加工(如搅拌、腌制、滚揉、成型、调味、炒、炸、烤、煮、蒸等)制成，配以或不配以调味料包，贮存、运输及销售环节须保持冷藏或冷冻条件，</w:t>
      </w:r>
      <w:r>
        <w:rPr>
          <w:rFonts w:hint="eastAsia" w:ascii="宋体" w:hAnsi="Times New Roman" w:cs="Times New Roman"/>
          <w:kern w:val="0"/>
          <w:sz w:val="21"/>
          <w:szCs w:val="20"/>
          <w:lang w:val="en-US" w:eastAsia="zh-CN" w:bidi="ar-SA"/>
        </w:rPr>
        <w:t>食用前可直接烹制的工业化预包装菜肴</w:t>
      </w:r>
      <w:r>
        <w:rPr>
          <w:rFonts w:hint="eastAsia" w:ascii="宋体" w:hAnsi="Times New Roman" w:eastAsia="宋体" w:cs="Times New Roman"/>
          <w:kern w:val="0"/>
          <w:sz w:val="21"/>
          <w:szCs w:val="20"/>
          <w:lang w:val="en-US" w:eastAsia="zh-CN" w:bidi="ar-SA"/>
        </w:rPr>
        <w:t>。</w:t>
      </w:r>
    </w:p>
    <w:bookmarkEnd w:id="28"/>
    <w:p w14:paraId="0F3AC63C">
      <w:pPr>
        <w:pStyle w:val="48"/>
        <w:numPr>
          <w:ilvl w:val="1"/>
          <w:numId w:val="0"/>
        </w:numPr>
        <w:bidi w:val="0"/>
        <w:ind w:leftChars="0"/>
        <w:rPr>
          <w:rFonts w:hint="eastAsia"/>
          <w:lang w:val="en-US" w:eastAsia="zh-CN"/>
        </w:rPr>
      </w:pPr>
      <w:r>
        <w:rPr>
          <w:rFonts w:hint="eastAsia"/>
          <w:lang w:val="en-US" w:eastAsia="zh-CN"/>
        </w:rPr>
        <w:t>3.2  冷藏即烹预制菜</w:t>
      </w:r>
    </w:p>
    <w:p w14:paraId="685462BB">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在0 ℃～10 ℃冷藏状态下流通、销售的即烹预制菜。 </w:t>
      </w:r>
    </w:p>
    <w:p w14:paraId="0C80AD61">
      <w:pPr>
        <w:pStyle w:val="48"/>
        <w:numPr>
          <w:ilvl w:val="1"/>
          <w:numId w:val="0"/>
        </w:numPr>
        <w:bidi w:val="0"/>
        <w:ind w:leftChars="0"/>
        <w:rPr>
          <w:rFonts w:hint="eastAsia"/>
          <w:lang w:val="en-US" w:eastAsia="zh-CN"/>
        </w:rPr>
      </w:pPr>
      <w:r>
        <w:rPr>
          <w:rFonts w:hint="eastAsia"/>
          <w:lang w:val="en-US" w:eastAsia="zh-CN"/>
        </w:rPr>
        <w:t>3.3  冻藏即烹预制菜</w:t>
      </w:r>
    </w:p>
    <w:p w14:paraId="14C99B2D">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经过速冻工艺加工并在≤-18 ℃冷链状态下贮存、流通、销售的即烹预制菜。</w:t>
      </w:r>
    </w:p>
    <w:p w14:paraId="40927E52">
      <w:pPr>
        <w:pStyle w:val="38"/>
        <w:ind w:left="0"/>
        <w:rPr>
          <w:rFonts w:hint="eastAsia" w:hAnsi="Times New Roman" w:cs="Times New Roman"/>
        </w:rPr>
      </w:pPr>
      <w:r>
        <w:rPr>
          <w:rFonts w:hint="eastAsia" w:hAnsi="Times New Roman" w:cs="Times New Roman"/>
        </w:rPr>
        <w:t>基本原则</w:t>
      </w:r>
    </w:p>
    <w:p w14:paraId="6D630C0E">
      <w:pPr>
        <w:pStyle w:val="48"/>
        <w:bidi w:val="0"/>
        <w:rPr>
          <w:rFonts w:hint="eastAsia"/>
          <w:lang w:val="en-US" w:eastAsia="zh-CN"/>
        </w:rPr>
      </w:pPr>
      <w:r>
        <w:rPr>
          <w:rFonts w:hint="eastAsia"/>
          <w:lang w:val="en-US" w:eastAsia="zh-CN"/>
        </w:rPr>
        <w:t xml:space="preserve">一般要求 </w:t>
      </w:r>
    </w:p>
    <w:p w14:paraId="5708DAF0">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lang w:val="en-US" w:eastAsia="zh-CN"/>
        </w:rPr>
      </w:pPr>
      <w:r>
        <w:rPr>
          <w:rFonts w:hint="eastAsia" w:ascii="宋体" w:hAnsi="Times New Roman" w:eastAsia="宋体" w:cs="Times New Roman"/>
          <w:kern w:val="0"/>
          <w:sz w:val="21"/>
          <w:szCs w:val="20"/>
          <w:lang w:val="en-US" w:eastAsia="zh-CN" w:bidi="ar-SA"/>
        </w:rPr>
        <w:t>原料、食品添加剂和食品相关产品应符合GB 14881的相关规定。</w:t>
      </w:r>
      <w:r>
        <w:rPr>
          <w:rFonts w:hint="eastAsia"/>
          <w:lang w:val="en-US" w:eastAsia="zh-CN"/>
        </w:rPr>
        <w:t xml:space="preserve"> </w:t>
      </w:r>
    </w:p>
    <w:p w14:paraId="10337189">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含有过敏原的食品原料应分区域或分库贮存，明确标示，避免交叉污染与误用。 </w:t>
      </w:r>
    </w:p>
    <w:p w14:paraId="58C9D5E8">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用于原料、半成品、成品的工具和容器应分开放置和使用，并有明显标识。</w:t>
      </w:r>
    </w:p>
    <w:p w14:paraId="65E7E430">
      <w:pPr>
        <w:pStyle w:val="48"/>
        <w:bidi w:val="0"/>
        <w:rPr>
          <w:rFonts w:hint="default"/>
          <w:lang w:val="en-US" w:eastAsia="zh-CN"/>
        </w:rPr>
      </w:pPr>
      <w:r>
        <w:rPr>
          <w:rFonts w:hint="eastAsia"/>
          <w:lang w:val="en-US" w:eastAsia="zh-CN"/>
        </w:rPr>
        <w:t>主料要求</w:t>
      </w:r>
    </w:p>
    <w:p w14:paraId="4FA49DDA">
      <w:pPr>
        <w:pStyle w:val="47"/>
        <w:bidi w:val="0"/>
        <w:rPr>
          <w:rFonts w:hint="eastAsia"/>
          <w:lang w:val="en-US" w:eastAsia="zh-CN"/>
        </w:rPr>
      </w:pPr>
      <w:r>
        <w:rPr>
          <w:rFonts w:hint="eastAsia"/>
          <w:lang w:val="en-US" w:eastAsia="zh-CN"/>
        </w:rPr>
        <w:t>畜禽肉</w:t>
      </w:r>
    </w:p>
    <w:p w14:paraId="64654BA8">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2707的规定。</w:t>
      </w:r>
    </w:p>
    <w:p w14:paraId="42D739AC">
      <w:pPr>
        <w:pStyle w:val="47"/>
        <w:bidi w:val="0"/>
        <w:rPr>
          <w:rFonts w:hint="eastAsia"/>
          <w:lang w:val="en-US" w:eastAsia="zh-CN"/>
        </w:rPr>
      </w:pPr>
      <w:r>
        <w:rPr>
          <w:rFonts w:hint="eastAsia"/>
          <w:lang w:val="en-US" w:eastAsia="zh-CN"/>
        </w:rPr>
        <w:t>动物性水产品</w:t>
      </w:r>
    </w:p>
    <w:p w14:paraId="26F1BDE3">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2733的规定。</w:t>
      </w:r>
    </w:p>
    <w:p w14:paraId="7F002FDF">
      <w:pPr>
        <w:pStyle w:val="47"/>
        <w:bidi w:val="0"/>
        <w:rPr>
          <w:rFonts w:hint="eastAsia"/>
          <w:lang w:val="en-US" w:eastAsia="zh-CN"/>
        </w:rPr>
      </w:pPr>
      <w:r>
        <w:rPr>
          <w:rFonts w:hint="eastAsia"/>
          <w:lang w:val="en-US" w:eastAsia="zh-CN"/>
        </w:rPr>
        <w:t>蛋与蛋制品</w:t>
      </w:r>
    </w:p>
    <w:p w14:paraId="531ECBEB">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2749的规定。</w:t>
      </w:r>
    </w:p>
    <w:p w14:paraId="7B86971A">
      <w:pPr>
        <w:pStyle w:val="47"/>
        <w:bidi w:val="0"/>
        <w:rPr>
          <w:rFonts w:hint="eastAsia"/>
          <w:lang w:val="en-US" w:eastAsia="zh-CN"/>
        </w:rPr>
      </w:pPr>
      <w:r>
        <w:rPr>
          <w:rFonts w:hint="eastAsia"/>
          <w:lang w:val="en-US" w:eastAsia="zh-CN"/>
        </w:rPr>
        <w:t>谷物、豆类和薯类</w:t>
      </w:r>
    </w:p>
    <w:p w14:paraId="73DF7A55">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2715的规定。</w:t>
      </w:r>
    </w:p>
    <w:p w14:paraId="0231C9CA">
      <w:pPr>
        <w:pStyle w:val="47"/>
        <w:bidi w:val="0"/>
        <w:rPr>
          <w:rFonts w:hint="eastAsia" w:ascii="黑体" w:hAnsi="Times New Roman" w:eastAsia="黑体" w:cs="Times New Roman"/>
          <w:kern w:val="0"/>
          <w:sz w:val="21"/>
          <w:szCs w:val="20"/>
          <w:lang w:val="en-US" w:eastAsia="zh-CN" w:bidi="ar-SA"/>
        </w:rPr>
      </w:pPr>
      <w:r>
        <w:rPr>
          <w:rFonts w:hint="eastAsia" w:ascii="Times New Roman" w:hAnsi="Times New Roman" w:eastAsia="黑体" w:cs="Times New Roman"/>
          <w:kern w:val="0"/>
          <w:sz w:val="21"/>
          <w:szCs w:val="20"/>
          <w:lang w:val="en-US" w:eastAsia="zh-CN" w:bidi="ar-SA"/>
        </w:rPr>
        <w:t>食用菌及其制品</w:t>
      </w:r>
    </w:p>
    <w:p w14:paraId="2E5B7773">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7096的规定。</w:t>
      </w:r>
    </w:p>
    <w:p w14:paraId="7D3F2ACE">
      <w:pPr>
        <w:pStyle w:val="47"/>
        <w:bidi w:val="0"/>
        <w:rPr>
          <w:rFonts w:hint="eastAsia"/>
          <w:lang w:val="en-US" w:eastAsia="zh-CN"/>
        </w:rPr>
      </w:pPr>
      <w:r>
        <w:rPr>
          <w:rFonts w:hint="eastAsia"/>
          <w:lang w:val="en-US" w:eastAsia="zh-CN"/>
        </w:rPr>
        <w:t>乳及乳制品</w:t>
      </w:r>
    </w:p>
    <w:p w14:paraId="61609482">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19301、GB 19302、GB 19644、GB 19645、GB 19646、GB 25190、GB 25191</w:t>
      </w:r>
      <w:r>
        <w:rPr>
          <w:rFonts w:hint="eastAsia" w:ascii="宋体" w:cs="Times New Roman"/>
          <w:kern w:val="0"/>
          <w:sz w:val="21"/>
          <w:szCs w:val="20"/>
          <w:lang w:val="en-US" w:eastAsia="zh-CN" w:bidi="ar-SA"/>
        </w:rPr>
        <w:t>等</w:t>
      </w:r>
      <w:r>
        <w:rPr>
          <w:rFonts w:hint="eastAsia" w:ascii="宋体" w:hAnsi="Times New Roman" w:eastAsia="宋体" w:cs="Times New Roman"/>
          <w:kern w:val="0"/>
          <w:sz w:val="21"/>
          <w:szCs w:val="20"/>
          <w:lang w:val="en-US" w:eastAsia="zh-CN" w:bidi="ar-SA"/>
        </w:rPr>
        <w:t>的规定。</w:t>
      </w:r>
    </w:p>
    <w:p w14:paraId="7286615F">
      <w:pPr>
        <w:pStyle w:val="48"/>
        <w:bidi w:val="0"/>
        <w:rPr>
          <w:rFonts w:hint="default"/>
          <w:lang w:val="en-US" w:eastAsia="zh-CN"/>
        </w:rPr>
      </w:pPr>
      <w:r>
        <w:rPr>
          <w:rFonts w:hint="eastAsia"/>
          <w:lang w:val="en-US" w:eastAsia="zh-CN"/>
        </w:rPr>
        <w:t>辅料要求</w:t>
      </w:r>
    </w:p>
    <w:p w14:paraId="347CCA9E">
      <w:pPr>
        <w:pStyle w:val="47"/>
        <w:bidi w:val="0"/>
        <w:rPr>
          <w:rFonts w:hint="eastAsia"/>
          <w:lang w:val="en-US" w:eastAsia="zh-CN"/>
        </w:rPr>
      </w:pPr>
      <w:r>
        <w:rPr>
          <w:rFonts w:hint="eastAsia"/>
          <w:lang w:val="en-US" w:eastAsia="zh-CN"/>
        </w:rPr>
        <w:t>植物油</w:t>
      </w:r>
    </w:p>
    <w:p w14:paraId="075E5C5C">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2716的规定。</w:t>
      </w:r>
    </w:p>
    <w:p w14:paraId="47D10786">
      <w:pPr>
        <w:pStyle w:val="47"/>
        <w:bidi w:val="0"/>
        <w:rPr>
          <w:rFonts w:hint="eastAsia"/>
          <w:lang w:val="en-US" w:eastAsia="zh-CN"/>
        </w:rPr>
      </w:pPr>
      <w:r>
        <w:rPr>
          <w:rFonts w:hint="eastAsia"/>
          <w:lang w:val="en-US" w:eastAsia="zh-CN"/>
        </w:rPr>
        <w:t>调味料</w:t>
      </w:r>
    </w:p>
    <w:p w14:paraId="01327E69">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应符合GB 31644、GB 10133、GB/T 15691的规定。</w:t>
      </w:r>
    </w:p>
    <w:p w14:paraId="628D94E0">
      <w:pPr>
        <w:pStyle w:val="47"/>
        <w:bidi w:val="0"/>
        <w:rPr>
          <w:rFonts w:hint="eastAsia"/>
          <w:lang w:val="en-US" w:eastAsia="zh-CN"/>
        </w:rPr>
      </w:pPr>
      <w:r>
        <w:rPr>
          <w:rFonts w:hint="eastAsia"/>
          <w:lang w:val="en-US" w:eastAsia="zh-CN"/>
        </w:rPr>
        <w:t>水</w:t>
      </w:r>
    </w:p>
    <w:p w14:paraId="2EFE6412">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应符合 GB 5749 的规定。 </w:t>
      </w:r>
    </w:p>
    <w:p w14:paraId="460487A0">
      <w:pPr>
        <w:pStyle w:val="47"/>
        <w:bidi w:val="0"/>
        <w:rPr>
          <w:rFonts w:hint="eastAsia"/>
          <w:lang w:val="en-US" w:eastAsia="zh-CN"/>
        </w:rPr>
      </w:pPr>
      <w:r>
        <w:rPr>
          <w:rFonts w:hint="eastAsia"/>
          <w:lang w:val="en-US" w:eastAsia="zh-CN"/>
        </w:rPr>
        <w:t>食用盐</w:t>
      </w:r>
    </w:p>
    <w:p w14:paraId="08C0EF90">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 GB/T 5461 的规定。</w:t>
      </w:r>
    </w:p>
    <w:p w14:paraId="199565D6">
      <w:pPr>
        <w:pStyle w:val="47"/>
        <w:bidi w:val="0"/>
        <w:rPr>
          <w:rFonts w:hint="eastAsia"/>
          <w:lang w:val="en-US" w:eastAsia="zh-CN"/>
        </w:rPr>
      </w:pPr>
      <w:r>
        <w:rPr>
          <w:rFonts w:hint="eastAsia"/>
          <w:lang w:val="en-US" w:eastAsia="zh-CN"/>
        </w:rPr>
        <w:t>其他原辅料</w:t>
      </w:r>
    </w:p>
    <w:p w14:paraId="43FC95CC">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应符合相关产品的国家标准或行业标准的规定。</w:t>
      </w:r>
    </w:p>
    <w:p w14:paraId="00A85638">
      <w:pPr>
        <w:pStyle w:val="48"/>
        <w:bidi w:val="0"/>
        <w:rPr>
          <w:rFonts w:hint="eastAsia"/>
          <w:lang w:val="en-US" w:eastAsia="zh-CN"/>
        </w:rPr>
      </w:pPr>
      <w:r>
        <w:rPr>
          <w:rFonts w:hint="eastAsia"/>
          <w:lang w:val="en-US" w:eastAsia="zh-CN"/>
        </w:rPr>
        <w:t xml:space="preserve">食品添加剂 </w:t>
      </w:r>
    </w:p>
    <w:p w14:paraId="0D31C5A1">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黑体" w:hAnsi="Times New Roman" w:eastAsia="黑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鼓励企业减少</w:t>
      </w:r>
      <w:r>
        <w:rPr>
          <w:rFonts w:hint="eastAsia" w:ascii="宋体" w:eastAsia="宋体" w:cs="Times New Roman"/>
          <w:color w:val="auto"/>
          <w:kern w:val="0"/>
          <w:sz w:val="21"/>
          <w:szCs w:val="20"/>
          <w:lang w:val="en-US" w:eastAsia="zh-CN" w:bidi="ar-SA"/>
        </w:rPr>
        <w:t>使用</w:t>
      </w:r>
      <w:r>
        <w:rPr>
          <w:rFonts w:hint="eastAsia" w:ascii="宋体" w:hAnsi="Times New Roman" w:eastAsia="宋体" w:cs="Times New Roman"/>
          <w:color w:val="auto"/>
          <w:kern w:val="0"/>
          <w:sz w:val="21"/>
          <w:szCs w:val="20"/>
          <w:lang w:val="en-US" w:eastAsia="zh-CN" w:bidi="ar-SA"/>
        </w:rPr>
        <w:t xml:space="preserve">食品添加剂，确需添加时应符合 GB 2760的相关规定。 </w:t>
      </w:r>
    </w:p>
    <w:p w14:paraId="12E17B21">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黑体" w:hAnsi="Times New Roman" w:eastAsia="黑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同一产品，多种食材食品添加剂并用时，应控制产品相同功能的食品添加剂总量。</w:t>
      </w:r>
    </w:p>
    <w:p w14:paraId="766C8036">
      <w:pPr>
        <w:pStyle w:val="48"/>
        <w:bidi w:val="0"/>
        <w:rPr>
          <w:rFonts w:hint="eastAsia"/>
          <w:lang w:val="en-US" w:eastAsia="zh-CN"/>
        </w:rPr>
      </w:pPr>
      <w:r>
        <w:rPr>
          <w:rFonts w:hint="eastAsia"/>
          <w:lang w:val="en-US" w:eastAsia="zh-CN"/>
        </w:rPr>
        <w:t xml:space="preserve">食品相关产品 </w:t>
      </w:r>
    </w:p>
    <w:p w14:paraId="6F550E01">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食品相关产品应符合GB 14881的相关规定。</w:t>
      </w:r>
    </w:p>
    <w:p w14:paraId="2A756B7F">
      <w:pPr>
        <w:pStyle w:val="38"/>
        <w:ind w:left="0"/>
        <w:rPr>
          <w:rFonts w:hint="eastAsia" w:hAnsi="Times New Roman" w:cs="Times New Roman"/>
        </w:rPr>
      </w:pPr>
      <w:bookmarkStart w:id="29" w:name="_Toc20174"/>
      <w:r>
        <w:rPr>
          <w:rFonts w:hint="eastAsia" w:hAnsi="Times New Roman" w:cs="Times New Roman"/>
          <w:lang w:val="en-US" w:eastAsia="zh-CN"/>
        </w:rPr>
        <w:t>加工条件要求</w:t>
      </w:r>
      <w:bookmarkEnd w:id="29"/>
      <w:r>
        <w:rPr>
          <w:rFonts w:hint="eastAsia" w:hAnsi="Times New Roman" w:cs="Times New Roman"/>
          <w:lang w:val="en-US" w:eastAsia="zh-CN"/>
        </w:rPr>
        <w:t xml:space="preserve"> </w:t>
      </w:r>
    </w:p>
    <w:p w14:paraId="145F42B7">
      <w:pPr>
        <w:pStyle w:val="48"/>
        <w:bidi w:val="0"/>
        <w:rPr>
          <w:rFonts w:hint="eastAsia"/>
        </w:rPr>
      </w:pPr>
      <w:r>
        <w:rPr>
          <w:rFonts w:hint="eastAsia"/>
          <w:lang w:val="en-US" w:eastAsia="zh-CN"/>
        </w:rPr>
        <w:t xml:space="preserve">选址及厂区环境要求 </w:t>
      </w:r>
    </w:p>
    <w:p w14:paraId="79C47B40">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应符合 GB 14881 中选址及厂区环境要求的相关规定。 </w:t>
      </w:r>
    </w:p>
    <w:p w14:paraId="0EF7351F">
      <w:pPr>
        <w:pStyle w:val="48"/>
        <w:bidi w:val="0"/>
        <w:rPr>
          <w:rFonts w:hint="eastAsia"/>
          <w:lang w:val="en-US" w:eastAsia="zh-CN"/>
        </w:rPr>
      </w:pPr>
      <w:r>
        <w:rPr>
          <w:rFonts w:hint="eastAsia"/>
          <w:lang w:val="en-US" w:eastAsia="zh-CN"/>
        </w:rPr>
        <w:t xml:space="preserve">厂房和车间 </w:t>
      </w:r>
    </w:p>
    <w:p w14:paraId="0BF0952D">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应根</w:t>
      </w:r>
      <w:r>
        <w:rPr>
          <w:rFonts w:hint="eastAsia" w:ascii="宋体" w:hAnsi="Times New Roman" w:eastAsia="宋体" w:cs="Times New Roman"/>
          <w:b w:val="0"/>
          <w:bCs w:val="0"/>
          <w:kern w:val="0"/>
          <w:sz w:val="21"/>
          <w:szCs w:val="20"/>
          <w:lang w:val="en-US" w:eastAsia="zh-CN" w:bidi="ar-SA"/>
        </w:rPr>
        <w:t>据</w:t>
      </w:r>
      <w:r>
        <w:rPr>
          <w:rFonts w:hint="eastAsia" w:ascii="宋体" w:hAnsi="宋体" w:eastAsia="宋体" w:cs="宋体"/>
          <w:b w:val="0"/>
          <w:bCs w:val="0"/>
          <w:kern w:val="0"/>
          <w:sz w:val="21"/>
          <w:szCs w:val="20"/>
          <w:lang w:val="en-US" w:eastAsia="zh-CN" w:bidi="ar-SA"/>
        </w:rPr>
        <w:t>生产流程工艺、操作需求和洁净度的要求采取有效分离或分隔，避免交叉污染。生产场所可以划分为一般作业区（原料验</w:t>
      </w:r>
      <w:r>
        <w:rPr>
          <w:rFonts w:hint="eastAsia" w:ascii="宋体" w:hAnsi="Times New Roman" w:eastAsia="宋体" w:cs="Times New Roman"/>
          <w:b w:val="0"/>
          <w:bCs w:val="0"/>
          <w:kern w:val="0"/>
          <w:sz w:val="21"/>
          <w:szCs w:val="20"/>
          <w:lang w:val="en-US" w:eastAsia="zh-CN" w:bidi="ar-SA"/>
        </w:rPr>
        <w:t>收区、外包装区、仓储区等）、准清洁作业区（原料预处理区、配料区、调味区、预熟化区）、清洁作业区(冷却区、</w:t>
      </w:r>
      <w:r>
        <w:rPr>
          <w:rFonts w:hint="eastAsia" w:ascii="宋体" w:hAnsi="Times New Roman" w:eastAsia="宋体" w:cs="Times New Roman"/>
          <w:kern w:val="0"/>
          <w:sz w:val="21"/>
          <w:szCs w:val="20"/>
          <w:lang w:val="en-US" w:eastAsia="zh-CN" w:bidi="ar-SA"/>
        </w:rPr>
        <w:t>内包装区等)。</w:t>
      </w:r>
    </w:p>
    <w:p w14:paraId="7192A3F5">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预熟化区应设置为准清洁区，宜与其他区域有效隔离，避免污染。 </w:t>
      </w:r>
    </w:p>
    <w:p w14:paraId="34AE282B">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pPr>
      <w:r>
        <w:rPr>
          <w:rFonts w:hint="eastAsia" w:ascii="宋体" w:hAnsi="Times New Roman" w:eastAsia="宋体" w:cs="Times New Roman"/>
          <w:kern w:val="0"/>
          <w:sz w:val="21"/>
          <w:szCs w:val="20"/>
          <w:lang w:val="en-US" w:eastAsia="zh-CN" w:bidi="ar-SA"/>
        </w:rPr>
        <w:t xml:space="preserve">调料包自行生产的预制菜企业应设置独立生产线。 </w:t>
      </w:r>
    </w:p>
    <w:p w14:paraId="59CB28C5">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b w:val="0"/>
          <w:bCs w:val="0"/>
          <w:kern w:val="0"/>
          <w:sz w:val="21"/>
          <w:szCs w:val="20"/>
          <w:lang w:val="en-US" w:eastAsia="zh-CN" w:bidi="ar-SA"/>
        </w:rPr>
      </w:pPr>
      <w:r>
        <w:rPr>
          <w:rFonts w:hint="eastAsia" w:ascii="宋体" w:hAnsi="Times New Roman" w:eastAsia="宋体" w:cs="Times New Roman"/>
          <w:b w:val="0"/>
          <w:bCs w:val="0"/>
          <w:kern w:val="0"/>
          <w:sz w:val="21"/>
          <w:szCs w:val="20"/>
          <w:lang w:val="en-US" w:eastAsia="zh-CN" w:bidi="ar-SA"/>
        </w:rPr>
        <w:t>应配备设计合理、防止渗漏、易于清洁的废弃物</w:t>
      </w:r>
      <w:r>
        <w:rPr>
          <w:rFonts w:hint="eastAsia" w:ascii="宋体" w:eastAsia="宋体" w:cs="Times New Roman"/>
          <w:b w:val="0"/>
          <w:bCs w:val="0"/>
          <w:kern w:val="0"/>
          <w:sz w:val="21"/>
          <w:szCs w:val="20"/>
          <w:lang w:val="en-US" w:eastAsia="zh-CN" w:bidi="ar-SA"/>
        </w:rPr>
        <w:t>存放</w:t>
      </w:r>
      <w:r>
        <w:rPr>
          <w:rFonts w:hint="eastAsia" w:ascii="宋体" w:hAnsi="Times New Roman" w:eastAsia="宋体" w:cs="Times New Roman"/>
          <w:b w:val="0"/>
          <w:bCs w:val="0"/>
          <w:kern w:val="0"/>
          <w:sz w:val="21"/>
          <w:szCs w:val="20"/>
          <w:lang w:val="en-US" w:eastAsia="zh-CN" w:bidi="ar-SA"/>
        </w:rPr>
        <w:t>设施；</w:t>
      </w:r>
      <w:r>
        <w:rPr>
          <w:rFonts w:hint="eastAsia" w:ascii="宋体" w:eastAsia="宋体" w:cs="Times New Roman"/>
          <w:b w:val="0"/>
          <w:bCs w:val="0"/>
          <w:kern w:val="0"/>
          <w:sz w:val="21"/>
          <w:szCs w:val="20"/>
          <w:lang w:val="en-US" w:eastAsia="zh-CN" w:bidi="ar-SA"/>
        </w:rPr>
        <w:t>且</w:t>
      </w:r>
      <w:r>
        <w:rPr>
          <w:rFonts w:hint="eastAsia" w:ascii="宋体" w:hAnsi="Times New Roman" w:eastAsia="宋体" w:cs="Times New Roman"/>
          <w:b w:val="0"/>
          <w:bCs w:val="0"/>
          <w:kern w:val="0"/>
          <w:sz w:val="21"/>
          <w:szCs w:val="20"/>
          <w:lang w:val="en-US" w:eastAsia="zh-CN" w:bidi="ar-SA"/>
        </w:rPr>
        <w:t>应标识清晰。必要时应在适当地点设置废弃物临时存放设施。</w:t>
      </w:r>
    </w:p>
    <w:p w14:paraId="52C3E933">
      <w:pPr>
        <w:pStyle w:val="48"/>
        <w:bidi w:val="0"/>
        <w:rPr>
          <w:rFonts w:hint="eastAsia"/>
          <w:lang w:val="en-US" w:eastAsia="zh-CN"/>
        </w:rPr>
      </w:pPr>
      <w:r>
        <w:rPr>
          <w:rFonts w:hint="eastAsia"/>
          <w:lang w:val="en-US" w:eastAsia="zh-CN"/>
        </w:rPr>
        <w:t xml:space="preserve">加工区 </w:t>
      </w:r>
    </w:p>
    <w:p w14:paraId="7C4C95AF">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生产关键控制点应包括原料预处理、配料、熟制、速冻、杀菌等环节，应按照不同流程合理划分区域。 </w:t>
      </w:r>
    </w:p>
    <w:p w14:paraId="6E1D66ED">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根据生产工艺需要，应设立必要的冷藏、冷冻、加热、解冻、冷却区域，并采取有效分离或分隔。</w:t>
      </w:r>
    </w:p>
    <w:p w14:paraId="23D684CD">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lang w:val="en-US" w:eastAsia="zh-CN"/>
        </w:rPr>
      </w:pPr>
      <w:r>
        <w:rPr>
          <w:rFonts w:hint="eastAsia" w:ascii="宋体" w:hAnsi="Times New Roman" w:eastAsia="宋体" w:cs="Times New Roman"/>
          <w:kern w:val="0"/>
          <w:sz w:val="21"/>
          <w:szCs w:val="20"/>
          <w:lang w:val="en-US" w:eastAsia="zh-CN" w:bidi="ar-SA"/>
        </w:rPr>
        <w:t>根据加工贮存需要，应控制生产车间内温度、湿度等条件，防止微生物</w:t>
      </w:r>
      <w:r>
        <w:rPr>
          <w:rFonts w:hint="eastAsia" w:ascii="宋体" w:eastAsia="宋体" w:cs="Times New Roman"/>
          <w:kern w:val="0"/>
          <w:sz w:val="21"/>
          <w:szCs w:val="20"/>
          <w:lang w:val="en-US" w:eastAsia="zh-CN" w:bidi="ar-SA"/>
        </w:rPr>
        <w:t>生长</w:t>
      </w:r>
      <w:r>
        <w:rPr>
          <w:rFonts w:hint="eastAsia" w:ascii="宋体" w:hAnsi="Times New Roman" w:eastAsia="宋体" w:cs="Times New Roman"/>
          <w:kern w:val="0"/>
          <w:sz w:val="21"/>
          <w:szCs w:val="20"/>
          <w:lang w:val="en-US" w:eastAsia="zh-CN" w:bidi="ar-SA"/>
        </w:rPr>
        <w:t>繁殖。</w:t>
      </w:r>
    </w:p>
    <w:p w14:paraId="6F54E456">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lang w:val="en-US" w:eastAsia="zh-CN"/>
        </w:rPr>
      </w:pPr>
      <w:r>
        <w:rPr>
          <w:rFonts w:hint="eastAsia" w:ascii="宋体" w:hAnsi="Times New Roman" w:eastAsia="宋体" w:cs="Times New Roman"/>
          <w:kern w:val="0"/>
          <w:sz w:val="21"/>
          <w:szCs w:val="20"/>
          <w:lang w:val="en-US" w:eastAsia="zh-CN" w:bidi="ar-SA"/>
        </w:rPr>
        <w:t>废弃物</w:t>
      </w:r>
      <w:r>
        <w:rPr>
          <w:rFonts w:hint="eastAsia" w:ascii="宋体" w:eastAsia="宋体" w:cs="Times New Roman"/>
          <w:kern w:val="0"/>
          <w:sz w:val="21"/>
          <w:szCs w:val="20"/>
          <w:lang w:val="en-US" w:eastAsia="zh-CN" w:bidi="ar-SA"/>
        </w:rPr>
        <w:t>临时存放设施</w:t>
      </w:r>
      <w:r>
        <w:rPr>
          <w:rFonts w:hint="eastAsia" w:ascii="宋体" w:hAnsi="Times New Roman" w:eastAsia="宋体" w:cs="Times New Roman"/>
          <w:kern w:val="0"/>
          <w:sz w:val="21"/>
          <w:szCs w:val="20"/>
          <w:lang w:val="en-US" w:eastAsia="zh-CN" w:bidi="ar-SA"/>
        </w:rPr>
        <w:t>应</w:t>
      </w:r>
      <w:r>
        <w:rPr>
          <w:rFonts w:hint="eastAsia" w:ascii="宋体" w:eastAsia="宋体" w:cs="Times New Roman"/>
          <w:kern w:val="0"/>
          <w:sz w:val="21"/>
          <w:szCs w:val="20"/>
          <w:lang w:val="en-US" w:eastAsia="zh-CN" w:bidi="ar-SA"/>
        </w:rPr>
        <w:t>放置在</w:t>
      </w:r>
      <w:r>
        <w:rPr>
          <w:rFonts w:hint="eastAsia" w:ascii="宋体" w:hAnsi="Times New Roman" w:eastAsia="宋体" w:cs="Times New Roman"/>
          <w:kern w:val="0"/>
          <w:sz w:val="21"/>
          <w:szCs w:val="20"/>
          <w:lang w:val="en-US" w:eastAsia="zh-CN" w:bidi="ar-SA"/>
        </w:rPr>
        <w:t>与生产车间隔离</w:t>
      </w:r>
      <w:r>
        <w:rPr>
          <w:rFonts w:hint="eastAsia" w:ascii="宋体" w:eastAsia="宋体" w:cs="Times New Roman"/>
          <w:kern w:val="0"/>
          <w:sz w:val="21"/>
          <w:szCs w:val="20"/>
          <w:lang w:val="en-US" w:eastAsia="zh-CN" w:bidi="ar-SA"/>
        </w:rPr>
        <w:t>区域</w:t>
      </w:r>
      <w:r>
        <w:rPr>
          <w:rFonts w:hint="eastAsia" w:ascii="宋体" w:hAnsi="Times New Roman" w:eastAsia="宋体" w:cs="Times New Roman"/>
          <w:kern w:val="0"/>
          <w:sz w:val="21"/>
          <w:szCs w:val="20"/>
          <w:lang w:val="en-US" w:eastAsia="zh-CN" w:bidi="ar-SA"/>
        </w:rPr>
        <w:t>。生产中</w:t>
      </w:r>
      <w:r>
        <w:rPr>
          <w:rFonts w:hint="eastAsia" w:ascii="宋体" w:eastAsia="宋体" w:cs="Times New Roman"/>
          <w:kern w:val="0"/>
          <w:sz w:val="21"/>
          <w:szCs w:val="20"/>
          <w:lang w:val="en-US" w:eastAsia="zh-CN" w:bidi="ar-SA"/>
        </w:rPr>
        <w:t>产生的</w:t>
      </w:r>
      <w:r>
        <w:rPr>
          <w:rFonts w:hint="eastAsia" w:ascii="宋体" w:hAnsi="Times New Roman" w:eastAsia="宋体" w:cs="Times New Roman"/>
          <w:kern w:val="0"/>
          <w:sz w:val="21"/>
          <w:szCs w:val="20"/>
          <w:lang w:val="en-US" w:eastAsia="zh-CN" w:bidi="ar-SA"/>
        </w:rPr>
        <w:t>易腐坏物质</w:t>
      </w:r>
      <w:r>
        <w:rPr>
          <w:rFonts w:hint="eastAsia" w:ascii="宋体" w:eastAsia="宋体" w:cs="Times New Roman"/>
          <w:kern w:val="0"/>
          <w:sz w:val="21"/>
          <w:szCs w:val="20"/>
          <w:lang w:val="en-US" w:eastAsia="zh-CN" w:bidi="ar-SA"/>
        </w:rPr>
        <w:t>应</w:t>
      </w:r>
      <w:r>
        <w:rPr>
          <w:rFonts w:hint="eastAsia" w:ascii="宋体" w:hAnsi="Times New Roman" w:eastAsia="宋体" w:cs="Times New Roman"/>
          <w:kern w:val="0"/>
          <w:sz w:val="21"/>
          <w:szCs w:val="20"/>
          <w:lang w:val="en-US" w:eastAsia="zh-CN" w:bidi="ar-SA"/>
        </w:rPr>
        <w:t>及时清理。</w:t>
      </w:r>
    </w:p>
    <w:p w14:paraId="494BF208">
      <w:pPr>
        <w:pStyle w:val="48"/>
        <w:bidi w:val="0"/>
        <w:rPr>
          <w:rFonts w:hint="eastAsia"/>
          <w:lang w:val="en-US" w:eastAsia="zh-CN"/>
        </w:rPr>
      </w:pPr>
      <w:r>
        <w:rPr>
          <w:rFonts w:hint="eastAsia"/>
          <w:lang w:val="en-US" w:eastAsia="zh-CN"/>
        </w:rPr>
        <w:t>设施与设备</w:t>
      </w:r>
    </w:p>
    <w:p w14:paraId="3525E6DA">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 xml:space="preserve">应符合 </w:t>
      </w:r>
      <w:r>
        <w:rPr>
          <w:rFonts w:hint="default" w:ascii="Times New Roman" w:hAnsi="Times New Roman" w:eastAsia="宋体" w:cs="Times New Roman"/>
          <w:b w:val="0"/>
          <w:bCs w:val="0"/>
          <w:kern w:val="0"/>
          <w:sz w:val="21"/>
          <w:szCs w:val="20"/>
          <w:lang w:val="en-US" w:eastAsia="zh-CN" w:bidi="ar-SA"/>
        </w:rPr>
        <w:t>GB 14881</w:t>
      </w:r>
      <w:r>
        <w:rPr>
          <w:rFonts w:hint="default" w:ascii="宋体" w:hAnsi="Times New Roman" w:eastAsia="宋体" w:cs="Times New Roman"/>
          <w:kern w:val="0"/>
          <w:sz w:val="21"/>
          <w:szCs w:val="20"/>
          <w:lang w:val="en-US" w:eastAsia="zh-CN" w:bidi="ar-SA"/>
        </w:rPr>
        <w:t xml:space="preserve"> 中设施与设备的要求</w:t>
      </w:r>
      <w:r>
        <w:rPr>
          <w:rFonts w:hint="eastAsia" w:ascii="宋体" w:hAnsi="Times New Roman" w:eastAsia="宋体" w:cs="Times New Roman"/>
          <w:kern w:val="0"/>
          <w:sz w:val="21"/>
          <w:szCs w:val="20"/>
          <w:lang w:val="en-US" w:eastAsia="zh-CN" w:bidi="ar-SA"/>
        </w:rPr>
        <w:t>。</w:t>
      </w:r>
    </w:p>
    <w:p w14:paraId="5E0F8DDE">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黑体" w:hAnsi="Times New Roman" w:eastAsia="黑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应具有与生产产品品种、数量相适应的生产设备设施，性能和精度满足生产要求，便于操作、清洁、维护。</w:t>
      </w:r>
    </w:p>
    <w:p w14:paraId="4CC2929C">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采取烘炒、熬煮、煎炸、炝烩等高油烟或高湿加工工艺的生产车间，应安装排风设施和油烟处理装置。</w:t>
      </w:r>
    </w:p>
    <w:p w14:paraId="3AD149FF">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使用畜禽肉、水产品、蛋类等易腐坏原料进行加工的，应配备冷藏、冷冻设备。</w:t>
      </w:r>
    </w:p>
    <w:p w14:paraId="2C5BD37B">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根据预制菜加工工艺的不同，应配备蒸制、炒制、烤制或煮制等设备。</w:t>
      </w:r>
    </w:p>
    <w:p w14:paraId="28482E92">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黑体" w:hAnsi="Times New Roman" w:eastAsia="黑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杀菌工艺应配备符合要求的温度和压力监控装置。</w:t>
      </w:r>
    </w:p>
    <w:p w14:paraId="26F49C1F">
      <w:pPr>
        <w:pStyle w:val="48"/>
        <w:bidi w:val="0"/>
        <w:rPr>
          <w:rFonts w:hint="default"/>
          <w:lang w:val="en-US" w:eastAsia="zh-CN"/>
        </w:rPr>
      </w:pPr>
      <w:r>
        <w:rPr>
          <w:rFonts w:hint="eastAsia"/>
          <w:lang w:val="en-US" w:eastAsia="zh-CN"/>
        </w:rPr>
        <w:t>卫生管理</w:t>
      </w:r>
    </w:p>
    <w:p w14:paraId="69B7647E">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pPr>
      <w:r>
        <w:rPr>
          <w:rFonts w:hint="default" w:ascii="宋体" w:hAnsi="Times New Roman" w:eastAsia="宋体" w:cs="Times New Roman"/>
          <w:kern w:val="0"/>
          <w:sz w:val="21"/>
          <w:szCs w:val="20"/>
          <w:lang w:val="en-US" w:eastAsia="zh-CN" w:bidi="ar-SA"/>
        </w:rPr>
        <w:t>应符合 GB 14881 中对卫生管理的要求</w:t>
      </w:r>
      <w:r>
        <w:rPr>
          <w:rFonts w:hint="default" w:ascii="黑体" w:hAnsi="Times New Roman" w:eastAsia="黑体" w:cs="Times New Roman"/>
          <w:kern w:val="0"/>
          <w:sz w:val="21"/>
          <w:szCs w:val="20"/>
          <w:lang w:val="en-US" w:eastAsia="zh-CN" w:bidi="ar-SA"/>
        </w:rPr>
        <w:t>。</w:t>
      </w:r>
    </w:p>
    <w:p w14:paraId="36308CAF">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黑体" w:hAnsi="Times New Roman" w:eastAsia="黑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应根据不同类别产品的生产特点，定期对车间和设备设施</w:t>
      </w:r>
      <w:r>
        <w:rPr>
          <w:rFonts w:hint="eastAsia" w:ascii="宋体" w:hAnsi="宋体" w:eastAsia="宋体" w:cs="宋体"/>
          <w:color w:val="000000"/>
          <w:kern w:val="0"/>
          <w:sz w:val="21"/>
          <w:szCs w:val="21"/>
          <w:lang w:val="en-US" w:eastAsia="zh-CN" w:bidi="ar"/>
        </w:rPr>
        <w:t xml:space="preserve">制定有效的清洁消毒制度，降低微生物污染的风险。 </w:t>
      </w:r>
    </w:p>
    <w:p w14:paraId="0E71B073">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黑体" w:hAnsi="Times New Roman" w:eastAsia="黑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用于贮存易腐坏食品的冷藏、冷冻设备应建立清洁制度和监控制度。</w:t>
      </w:r>
    </w:p>
    <w:p w14:paraId="4002EDBD">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车间内排水应从清洁度高的区域流向清洁度低的区域，排水口应防止虫害风险和浊气逸出。使用较多油脂易堵塞排水系统的应建立定期清掏制度。</w:t>
      </w:r>
    </w:p>
    <w:p w14:paraId="4D963B51">
      <w:pPr>
        <w:pStyle w:val="38"/>
        <w:ind w:left="0"/>
        <w:rPr>
          <w:rFonts w:hint="eastAsia" w:hAnsi="Times New Roman" w:cs="Times New Roman"/>
          <w:lang w:val="en-US" w:eastAsia="zh-CN"/>
        </w:rPr>
      </w:pPr>
      <w:bookmarkStart w:id="30" w:name="_Toc2237"/>
      <w:r>
        <w:rPr>
          <w:rFonts w:hint="eastAsia" w:hAnsi="Times New Roman" w:cs="Times New Roman"/>
          <w:lang w:val="en-US" w:eastAsia="zh-CN"/>
        </w:rPr>
        <w:t>加工技术</w:t>
      </w:r>
      <w:bookmarkEnd w:id="30"/>
      <w:r>
        <w:rPr>
          <w:rFonts w:hint="eastAsia" w:hAnsi="Times New Roman" w:cs="Times New Roman"/>
          <w:lang w:val="en-US" w:eastAsia="zh-CN"/>
        </w:rPr>
        <w:t xml:space="preserve"> </w:t>
      </w:r>
    </w:p>
    <w:p w14:paraId="4C8DFC5A">
      <w:pPr>
        <w:pStyle w:val="48"/>
        <w:bidi w:val="0"/>
        <w:rPr>
          <w:rFonts w:hint="eastAsia"/>
          <w:lang w:val="en-US" w:eastAsia="zh-CN"/>
        </w:rPr>
      </w:pPr>
      <w:r>
        <w:rPr>
          <w:rFonts w:hint="eastAsia"/>
          <w:lang w:val="en-US" w:eastAsia="zh-CN"/>
        </w:rPr>
        <w:t xml:space="preserve">一般要求 </w:t>
      </w:r>
    </w:p>
    <w:p w14:paraId="6D015C77">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应符合 GB 14881的相关规定。 </w:t>
      </w:r>
    </w:p>
    <w:p w14:paraId="436FD746">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需冷藏冻藏的即烹预制菜，各项生产加工操作宜低温短时完成，确保产品及时进入低温库。 </w:t>
      </w:r>
    </w:p>
    <w:p w14:paraId="6F05B61C">
      <w:pPr>
        <w:pStyle w:val="48"/>
        <w:bidi w:val="0"/>
        <w:rPr>
          <w:rFonts w:hint="eastAsia"/>
          <w:lang w:val="en-US" w:eastAsia="zh-CN"/>
        </w:rPr>
      </w:pPr>
      <w:r>
        <w:rPr>
          <w:rFonts w:hint="eastAsia"/>
          <w:lang w:val="en-US" w:eastAsia="zh-CN"/>
        </w:rPr>
        <w:t xml:space="preserve">原料预处理 </w:t>
      </w:r>
    </w:p>
    <w:p w14:paraId="0CD64174">
      <w:pPr>
        <w:pStyle w:val="47"/>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Times New Roman" w:eastAsia="黑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对畜禽肉、蔬果、水产品、蛋与蛋制品、食用菌及其制品、豆及豆制品等进行分拣、清洗等预处理应分区或分隔清洗处理，处理后尽快加工或冷藏、冷冻</w:t>
      </w:r>
      <w:r>
        <w:rPr>
          <w:rFonts w:hint="eastAsia" w:ascii="宋体" w:eastAsia="宋体" w:cs="Times New Roman"/>
          <w:kern w:val="0"/>
          <w:sz w:val="21"/>
          <w:szCs w:val="20"/>
          <w:lang w:val="en-US" w:eastAsia="zh-CN" w:bidi="ar-SA"/>
        </w:rPr>
        <w:t>。</w:t>
      </w:r>
    </w:p>
    <w:p w14:paraId="5F297668">
      <w:pPr>
        <w:pStyle w:val="48"/>
        <w:bidi w:val="0"/>
        <w:rPr>
          <w:rFonts w:hint="eastAsia"/>
          <w:lang w:val="en-US" w:eastAsia="zh-CN"/>
        </w:rPr>
      </w:pPr>
      <w:r>
        <w:rPr>
          <w:rFonts w:hint="eastAsia"/>
          <w:lang w:val="en-US" w:eastAsia="zh-CN"/>
        </w:rPr>
        <w:t xml:space="preserve">预制加工 </w:t>
      </w:r>
    </w:p>
    <w:p w14:paraId="0969154E">
      <w:pPr>
        <w:pStyle w:val="47"/>
        <w:bidi w:val="0"/>
      </w:pPr>
      <w:r>
        <w:rPr>
          <w:rFonts w:hint="eastAsia" w:ascii="宋体" w:hAnsi="Times New Roman" w:eastAsia="宋体" w:cs="Times New Roman"/>
          <w:kern w:val="0"/>
          <w:sz w:val="21"/>
          <w:szCs w:val="20"/>
          <w:lang w:val="en-US" w:eastAsia="zh-CN" w:bidi="ar-SA"/>
        </w:rPr>
        <w:t>即烹预制菜原料</w:t>
      </w:r>
      <w:r>
        <w:rPr>
          <w:rFonts w:hint="eastAsia" w:ascii="宋体" w:eastAsia="宋体" w:cs="Times New Roman"/>
          <w:kern w:val="0"/>
          <w:sz w:val="21"/>
          <w:szCs w:val="20"/>
          <w:lang w:val="en-US" w:eastAsia="zh-CN" w:bidi="ar-SA"/>
        </w:rPr>
        <w:t>及</w:t>
      </w:r>
      <w:r>
        <w:rPr>
          <w:rFonts w:hint="eastAsia" w:ascii="宋体" w:hAnsi="Times New Roman" w:eastAsia="宋体" w:cs="Times New Roman"/>
          <w:kern w:val="0"/>
          <w:sz w:val="21"/>
          <w:szCs w:val="20"/>
          <w:lang w:val="en-US" w:eastAsia="zh-CN" w:bidi="ar-SA"/>
        </w:rPr>
        <w:t xml:space="preserve">所用调味料，不宜添加着色剂、食用香精等食品添加剂，应符合相关国家标准的规定。 </w:t>
      </w:r>
    </w:p>
    <w:p w14:paraId="061BCCE7">
      <w:pPr>
        <w:pStyle w:val="47"/>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无后续热加工处理的生产区域及内包装间应严格控制环境温度和操作时间，必要时控制环境湿度</w:t>
      </w:r>
      <w:r>
        <w:rPr>
          <w:rFonts w:hint="eastAsia" w:ascii="宋体" w:eastAsia="宋体" w:cs="Times New Roman"/>
          <w:kern w:val="0"/>
          <w:sz w:val="21"/>
          <w:szCs w:val="20"/>
          <w:lang w:val="en-US" w:eastAsia="zh-CN" w:bidi="ar-SA"/>
        </w:rPr>
        <w:t>。</w:t>
      </w:r>
    </w:p>
    <w:p w14:paraId="52748781">
      <w:pPr>
        <w:pStyle w:val="47"/>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熟制环节对时间和温度有控制要求的工序，应严格按照产品工艺要求进行操作，并对温度和时间进行监控，并做好记录</w:t>
      </w:r>
      <w:r>
        <w:rPr>
          <w:rFonts w:hint="eastAsia" w:ascii="宋体" w:eastAsia="宋体" w:cs="Times New Roman"/>
          <w:kern w:val="0"/>
          <w:sz w:val="21"/>
          <w:szCs w:val="20"/>
          <w:lang w:val="en-US" w:eastAsia="zh-CN" w:bidi="ar-SA"/>
        </w:rPr>
        <w:t>。</w:t>
      </w:r>
    </w:p>
    <w:p w14:paraId="7822F791">
      <w:pPr>
        <w:pStyle w:val="47"/>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其他生产加工区域可根据原料、半成品特点对加工场所环境温度及加工时间进行控制。 </w:t>
      </w:r>
    </w:p>
    <w:p w14:paraId="2F9513C5">
      <w:pPr>
        <w:pStyle w:val="47"/>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速冻环节应将需速冻的预制菜放在</w:t>
      </w:r>
      <w:r>
        <w:rPr>
          <w:rFonts w:hint="default" w:ascii="宋体" w:hAnsi="Times New Roman" w:eastAsia="宋体" w:cs="Times New Roman"/>
          <w:kern w:val="0"/>
          <w:sz w:val="21"/>
          <w:szCs w:val="20"/>
          <w:lang w:val="en-US" w:eastAsia="zh-CN" w:bidi="ar-SA"/>
        </w:rPr>
        <w:t>-30</w:t>
      </w:r>
      <w:r>
        <w:rPr>
          <w:rFonts w:hint="eastAsia" w:ascii="宋体" w:hAnsi="Times New Roman" w:eastAsia="宋体" w:cs="Times New Roman"/>
          <w:kern w:val="0"/>
          <w:sz w:val="21"/>
          <w:szCs w:val="20"/>
          <w:lang w:val="en-US" w:eastAsia="zh-CN" w:bidi="ar-SA"/>
        </w:rPr>
        <w:t>℃ 以下的设备中速冻，速冻后的食品中心温度应达到-18℃及以下。</w:t>
      </w:r>
    </w:p>
    <w:p w14:paraId="5BB91204">
      <w:pPr>
        <w:pStyle w:val="47"/>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需杀菌的预制菜应严格按照不同类别特定的杀菌工艺进行操作。</w:t>
      </w:r>
    </w:p>
    <w:p w14:paraId="102E361E">
      <w:pPr>
        <w:pStyle w:val="47"/>
        <w:keepNext w:val="0"/>
        <w:keepLines w:val="0"/>
        <w:pageBreakBefore w:val="0"/>
        <w:widowControl/>
        <w:kinsoku/>
        <w:wordWrap/>
        <w:overflowPunct/>
        <w:topLinePunct w:val="0"/>
        <w:autoSpaceDE/>
        <w:autoSpaceDN/>
        <w:bidi w:val="0"/>
        <w:adjustRightInd/>
        <w:snapToGrid/>
        <w:spacing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配制、调制过程后应尽快进行后续加工并做好记录，无后续热加工的，应尽快选择合适条件贮藏。按照预制菜品的要求，合理配制主料、配料、调味料等。需要时，不同品类的调味料分别包装。 </w:t>
      </w:r>
    </w:p>
    <w:p w14:paraId="793261EB">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lang w:val="en-US" w:eastAsia="zh-CN"/>
        </w:rPr>
      </w:pPr>
      <w:r>
        <w:rPr>
          <w:rFonts w:hint="eastAsia"/>
          <w:lang w:val="en-US" w:eastAsia="zh-CN"/>
        </w:rPr>
        <w:t xml:space="preserve">预熟化 </w:t>
      </w:r>
    </w:p>
    <w:p w14:paraId="3B6D781F">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应根据食材特性选择不同的熟化热加工方式，如：蒸制、炒制、炖（煮）制、烤制、炸制等。 </w:t>
      </w:r>
    </w:p>
    <w:p w14:paraId="50AD140A">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应根据预熟化的目的选择预熟化程度，控制热加工时间及中心温度，保证食材形态、满足贮存和食用前烹饪的需求。 </w:t>
      </w:r>
    </w:p>
    <w:p w14:paraId="503D31DB">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食材宜不完全熟制，保证后续烹制成品品质和口味。  </w:t>
      </w:r>
    </w:p>
    <w:p w14:paraId="6861EB7C">
      <w:pPr>
        <w:pStyle w:val="48"/>
        <w:bidi w:val="0"/>
        <w:rPr>
          <w:rFonts w:hint="eastAsia"/>
          <w:lang w:val="en-US" w:eastAsia="zh-CN"/>
        </w:rPr>
      </w:pPr>
      <w:r>
        <w:rPr>
          <w:rFonts w:hint="eastAsia"/>
          <w:lang w:val="en-US" w:eastAsia="zh-CN"/>
        </w:rPr>
        <w:t xml:space="preserve">冷却 </w:t>
      </w:r>
    </w:p>
    <w:p w14:paraId="36B0EC37">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产品</w:t>
      </w:r>
      <w:r>
        <w:rPr>
          <w:rFonts w:hint="eastAsia" w:ascii="宋体" w:hAnsi="Times New Roman" w:eastAsia="宋体" w:cs="Times New Roman"/>
          <w:kern w:val="0"/>
          <w:sz w:val="21"/>
          <w:szCs w:val="20"/>
          <w:lang w:val="en-US" w:eastAsia="zh-CN" w:bidi="ar-SA"/>
        </w:rPr>
        <w:t>热加工后应及时冷却，为保证产品质量，应转移至干燥、低温、通风的冷却间或者在冷却设施设备内快速冷却，满足后续速冻工艺或包装贮存条件的要求。</w:t>
      </w:r>
    </w:p>
    <w:p w14:paraId="54812B34">
      <w:pPr>
        <w:pStyle w:val="48"/>
        <w:bidi w:val="0"/>
        <w:rPr>
          <w:rFonts w:hint="eastAsia"/>
          <w:lang w:val="en-US" w:eastAsia="zh-CN"/>
        </w:rPr>
      </w:pPr>
      <w:r>
        <w:rPr>
          <w:rFonts w:hint="eastAsia"/>
          <w:lang w:val="en-US" w:eastAsia="zh-CN"/>
        </w:rPr>
        <w:t xml:space="preserve">速冻 </w:t>
      </w:r>
    </w:p>
    <w:p w14:paraId="6E8393E0">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应符合 GB 31646的相关规定。 </w:t>
      </w:r>
    </w:p>
    <w:p w14:paraId="7D820296">
      <w:pPr>
        <w:pStyle w:val="48"/>
        <w:bidi w:val="0"/>
        <w:rPr>
          <w:rFonts w:hint="eastAsia"/>
          <w:lang w:val="en-US" w:eastAsia="zh-CN"/>
        </w:rPr>
      </w:pPr>
      <w:r>
        <w:rPr>
          <w:rFonts w:hint="eastAsia"/>
          <w:lang w:val="en-US" w:eastAsia="zh-CN"/>
        </w:rPr>
        <w:t>杀菌环节</w:t>
      </w:r>
    </w:p>
    <w:p w14:paraId="3CE1E3AA">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需杀菌的预制菜应严格按照不同类别特定的杀菌工艺规程和杀菌偏差的处理方式进行操作。</w:t>
      </w:r>
    </w:p>
    <w:p w14:paraId="26F004F5">
      <w:pPr>
        <w:pStyle w:val="48"/>
        <w:bidi w:val="0"/>
        <w:rPr>
          <w:rFonts w:hint="eastAsia"/>
          <w:lang w:val="en-US" w:eastAsia="zh-CN"/>
        </w:rPr>
      </w:pPr>
      <w:r>
        <w:rPr>
          <w:rFonts w:hint="eastAsia"/>
          <w:lang w:val="en-US" w:eastAsia="zh-CN"/>
        </w:rPr>
        <w:t xml:space="preserve">包装 </w:t>
      </w:r>
    </w:p>
    <w:p w14:paraId="310ED5C0">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冷冻产品的内包装应采用耐低温的材料，需要带有内包装完成加热处理的产品，内包装应采用耐热材料，并符合相关安全卫生规定。 </w:t>
      </w:r>
    </w:p>
    <w:p w14:paraId="72459F1B">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食品包装应能在正常的贮存、运输、销售条件下最大限度地保护食品的安全性和食品品质。 </w:t>
      </w:r>
    </w:p>
    <w:p w14:paraId="5F47C679">
      <w:pPr>
        <w:pStyle w:val="38"/>
        <w:ind w:left="0"/>
        <w:rPr>
          <w:rFonts w:hint="eastAsia" w:hAnsi="Times New Roman" w:cs="Times New Roman"/>
          <w:lang w:val="en-US" w:eastAsia="zh-CN"/>
        </w:rPr>
      </w:pPr>
      <w:bookmarkStart w:id="31" w:name="_Toc21644"/>
      <w:r>
        <w:rPr>
          <w:rFonts w:hint="eastAsia" w:hAnsi="Times New Roman" w:cs="Times New Roman"/>
          <w:lang w:val="en-US" w:eastAsia="zh-CN"/>
        </w:rPr>
        <w:t>污染</w:t>
      </w:r>
      <w:bookmarkEnd w:id="31"/>
      <w:r>
        <w:rPr>
          <w:rFonts w:hint="eastAsia" w:hAnsi="Times New Roman" w:cs="Times New Roman"/>
          <w:lang w:val="en-US" w:eastAsia="zh-CN"/>
        </w:rPr>
        <w:t>控制</w:t>
      </w:r>
    </w:p>
    <w:p w14:paraId="7339214E">
      <w:pPr>
        <w:pStyle w:val="48"/>
        <w:bidi w:val="0"/>
      </w:pPr>
      <w:r>
        <w:rPr>
          <w:lang w:val="en-US" w:eastAsia="zh-CN"/>
        </w:rPr>
        <w:t>微生物</w:t>
      </w:r>
      <w:r>
        <w:rPr>
          <w:rFonts w:hint="eastAsia"/>
          <w:lang w:val="en-US" w:eastAsia="zh-CN"/>
        </w:rPr>
        <w:t>污染控制</w:t>
      </w:r>
    </w:p>
    <w:p w14:paraId="4B80DF52">
      <w:pPr>
        <w:pStyle w:val="47"/>
        <w:keepNext w:val="0"/>
        <w:keepLines w:val="0"/>
        <w:pageBreakBefore w:val="0"/>
        <w:widowControl/>
        <w:numPr>
          <w:ilvl w:val="3"/>
          <w:numId w:val="0"/>
        </w:numPr>
        <w:kinsoku/>
        <w:wordWrap/>
        <w:overflowPunct/>
        <w:topLinePunct w:val="0"/>
        <w:autoSpaceDE/>
        <w:autoSpaceDN/>
        <w:bidi w:val="0"/>
        <w:adjustRightInd/>
        <w:snapToGrid/>
        <w:spacing w:before="157" w:beforeLines="50" w:after="157" w:afterLines="50" w:line="276" w:lineRule="auto"/>
        <w:ind w:leftChars="0" w:firstLine="420" w:firstLineChars="200"/>
        <w:jc w:val="both"/>
        <w:textAlignment w:val="auto"/>
      </w:pPr>
      <w:r>
        <w:rPr>
          <w:rFonts w:hint="eastAsia" w:ascii="宋体" w:hAnsi="Times New Roman" w:eastAsia="宋体" w:cs="Times New Roman"/>
          <w:kern w:val="0"/>
          <w:sz w:val="21"/>
          <w:szCs w:val="20"/>
          <w:lang w:val="en-US" w:eastAsia="zh-CN" w:bidi="ar-SA"/>
        </w:rPr>
        <w:t>应符合 GB 14881的相关规定。根据产品特点确定关键控制环节进行微生物监控；应建立食品加工过程的微生物监控程序，包括生产环境的微生物监控和产品的微生物监控。</w:t>
      </w:r>
    </w:p>
    <w:p w14:paraId="4ABA4A4B">
      <w:pPr>
        <w:pStyle w:val="48"/>
        <w:bidi w:val="0"/>
      </w:pPr>
      <w:r>
        <w:rPr>
          <w:lang w:val="en-US" w:eastAsia="zh-CN"/>
        </w:rPr>
        <w:t>化学污染</w:t>
      </w:r>
      <w:r>
        <w:rPr>
          <w:rFonts w:hint="eastAsia"/>
          <w:lang w:val="en-US" w:eastAsia="zh-CN"/>
        </w:rPr>
        <w:t>控制</w:t>
      </w:r>
    </w:p>
    <w:p w14:paraId="0A1A8264">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应符合 GB 14881的相关规定。 建立清洁剂、消毒剂等化学品的使用制度。除必需品外，不应在生产场所使用、存放可能污染食品的化学制剂。</w:t>
      </w:r>
    </w:p>
    <w:p w14:paraId="4A350BC7">
      <w:pPr>
        <w:pStyle w:val="48"/>
        <w:bidi w:val="0"/>
        <w:rPr>
          <w:rFonts w:hint="default"/>
          <w:lang w:val="en-US" w:eastAsia="zh-CN"/>
        </w:rPr>
      </w:pPr>
      <w:r>
        <w:rPr>
          <w:rFonts w:hint="eastAsia"/>
          <w:lang w:val="en-US" w:eastAsia="zh-CN"/>
        </w:rPr>
        <w:t>物理污染控制</w:t>
      </w:r>
    </w:p>
    <w:p w14:paraId="157EF7C7">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sz w:val="18"/>
          <w:szCs w:val="18"/>
        </w:rPr>
      </w:pPr>
      <w:r>
        <w:rPr>
          <w:rFonts w:hint="eastAsia" w:ascii="宋体" w:hAnsi="Times New Roman" w:eastAsia="宋体" w:cs="Times New Roman"/>
          <w:kern w:val="0"/>
          <w:sz w:val="21"/>
          <w:szCs w:val="20"/>
          <w:lang w:val="en-US" w:eastAsia="zh-CN" w:bidi="ar-SA"/>
        </w:rPr>
        <w:t>应符合GB 14881的相关规定。应根据生产需要设置筛网、过滤器等，采用光学分选设备、金属检测器、X射线异物检测器等对异物进行检测。对发现的异物应及时分析其来源并采取相应的控制措施。</w:t>
      </w:r>
      <w:r>
        <w:rPr>
          <w:rFonts w:hint="eastAsia" w:ascii="宋体" w:hAnsi="宋体" w:eastAsia="宋体" w:cs="宋体"/>
          <w:color w:val="000000"/>
          <w:kern w:val="0"/>
          <w:sz w:val="18"/>
          <w:szCs w:val="18"/>
          <w:lang w:val="en-US" w:eastAsia="zh-CN" w:bidi="ar"/>
        </w:rPr>
        <w:t xml:space="preserve"> </w:t>
      </w:r>
    </w:p>
    <w:p w14:paraId="4D6DC287">
      <w:pPr>
        <w:pStyle w:val="38"/>
        <w:ind w:left="0"/>
        <w:rPr>
          <w:rFonts w:hint="eastAsia" w:hAnsi="Times New Roman" w:cs="Times New Roman"/>
          <w:lang w:val="en-US" w:eastAsia="zh-CN"/>
        </w:rPr>
      </w:pPr>
      <w:bookmarkStart w:id="32" w:name="_Toc29113"/>
      <w:r>
        <w:rPr>
          <w:rFonts w:hint="eastAsia" w:hAnsi="Times New Roman" w:cs="Times New Roman"/>
          <w:lang w:val="en-US" w:eastAsia="zh-CN"/>
        </w:rPr>
        <w:t>标签与标识</w:t>
      </w:r>
      <w:bookmarkEnd w:id="32"/>
      <w:r>
        <w:rPr>
          <w:rFonts w:hint="eastAsia" w:hAnsi="Times New Roman" w:cs="Times New Roman"/>
          <w:lang w:val="en-US" w:eastAsia="zh-CN"/>
        </w:rPr>
        <w:t xml:space="preserve"> </w:t>
      </w:r>
    </w:p>
    <w:p w14:paraId="1C60FFB4">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产品的预包装标签应符合GB 7718 及相关的规定；外包装标志应符合GB/T 191 规定。 </w:t>
      </w:r>
    </w:p>
    <w:p w14:paraId="6FB4421E">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lang w:val="en-US" w:eastAsia="zh-CN"/>
        </w:rPr>
      </w:pPr>
      <w:r>
        <w:rPr>
          <w:rFonts w:hint="eastAsia" w:ascii="宋体" w:hAnsi="Times New Roman" w:eastAsia="宋体" w:cs="Times New Roman"/>
          <w:kern w:val="0"/>
          <w:sz w:val="21"/>
          <w:szCs w:val="20"/>
          <w:lang w:val="en-US" w:eastAsia="zh-CN" w:bidi="ar-SA"/>
        </w:rPr>
        <w:t>产品预包装标签上应明确标示具体食用方法，包括烹饪方式、烹饪时间、调料包使用方法等。</w:t>
      </w:r>
      <w:r>
        <w:rPr>
          <w:rFonts w:hint="eastAsia"/>
          <w:lang w:val="en-US" w:eastAsia="zh-CN"/>
        </w:rPr>
        <w:t xml:space="preserve"> </w:t>
      </w:r>
    </w:p>
    <w:p w14:paraId="5ADC3278">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lang w:val="en-US" w:eastAsia="zh-CN"/>
        </w:rPr>
      </w:pPr>
      <w:r>
        <w:rPr>
          <w:rFonts w:hint="eastAsia" w:ascii="宋体" w:hAnsi="Times New Roman" w:eastAsia="宋体" w:cs="Times New Roman"/>
          <w:kern w:val="0"/>
          <w:sz w:val="21"/>
          <w:szCs w:val="20"/>
          <w:lang w:val="en-US" w:eastAsia="zh-CN" w:bidi="ar-SA"/>
        </w:rPr>
        <w:t>产品预包装标签上应标示配料表，包括主料和辅料。独立包装的调料包中的配料按加入量的递减顺序标示。</w:t>
      </w:r>
      <w:r>
        <w:rPr>
          <w:rFonts w:hint="eastAsia"/>
          <w:lang w:val="en-US" w:eastAsia="zh-CN"/>
        </w:rPr>
        <w:t xml:space="preserve"> </w:t>
      </w:r>
    </w:p>
    <w:p w14:paraId="1094E41C">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预制菜调料包委托生产的，应在外包装上标注受委托方的厂址和生产许可证编码。</w:t>
      </w:r>
    </w:p>
    <w:p w14:paraId="52FA8907">
      <w:pPr>
        <w:pStyle w:val="38"/>
        <w:ind w:left="0"/>
        <w:rPr>
          <w:rFonts w:hint="eastAsia" w:hAnsi="Times New Roman" w:cs="Times New Roman"/>
          <w:lang w:val="en-US" w:eastAsia="zh-CN"/>
        </w:rPr>
      </w:pPr>
      <w:bookmarkStart w:id="33" w:name="_Toc4116"/>
      <w:r>
        <w:rPr>
          <w:rFonts w:hint="eastAsia" w:hAnsi="Times New Roman" w:cs="Times New Roman"/>
          <w:lang w:val="en-US" w:eastAsia="zh-CN"/>
        </w:rPr>
        <w:t>检验</w:t>
      </w:r>
      <w:bookmarkEnd w:id="33"/>
      <w:r>
        <w:rPr>
          <w:rFonts w:hint="eastAsia" w:hAnsi="Times New Roman" w:cs="Times New Roman"/>
          <w:lang w:val="en-US" w:eastAsia="zh-CN"/>
        </w:rPr>
        <w:t xml:space="preserve"> </w:t>
      </w:r>
    </w:p>
    <w:p w14:paraId="1955A774">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应符合GB 14881的相关规定。 </w:t>
      </w:r>
    </w:p>
    <w:p w14:paraId="66DE5614">
      <w:pPr>
        <w:pStyle w:val="38"/>
        <w:ind w:left="0"/>
        <w:rPr>
          <w:rFonts w:hint="eastAsia" w:hAnsi="Times New Roman" w:cs="Times New Roman"/>
          <w:lang w:val="en-US" w:eastAsia="zh-CN"/>
        </w:rPr>
      </w:pPr>
      <w:bookmarkStart w:id="34" w:name="_Toc11342"/>
      <w:r>
        <w:rPr>
          <w:rFonts w:hint="eastAsia" w:hAnsi="Times New Roman" w:cs="Times New Roman"/>
          <w:lang w:val="en-US" w:eastAsia="zh-CN"/>
        </w:rPr>
        <w:t>贮存和运输</w:t>
      </w:r>
      <w:bookmarkEnd w:id="34"/>
      <w:r>
        <w:rPr>
          <w:rFonts w:hint="eastAsia" w:hAnsi="Times New Roman" w:cs="Times New Roman"/>
          <w:lang w:val="en-US" w:eastAsia="zh-CN"/>
        </w:rPr>
        <w:t xml:space="preserve"> </w:t>
      </w:r>
    </w:p>
    <w:p w14:paraId="363652D9">
      <w:pPr>
        <w:pStyle w:val="48"/>
        <w:bidi w:val="0"/>
        <w:rPr>
          <w:sz w:val="18"/>
          <w:szCs w:val="18"/>
        </w:rPr>
      </w:pPr>
      <w:r>
        <w:rPr>
          <w:rStyle w:val="132"/>
          <w:rFonts w:hint="eastAsia"/>
          <w:lang w:val="en-US" w:eastAsia="zh-CN"/>
        </w:rPr>
        <w:t>贮存</w:t>
      </w:r>
      <w:r>
        <w:rPr>
          <w:rFonts w:hint="eastAsia" w:ascii="黑体" w:hAnsi="宋体" w:eastAsia="黑体" w:cs="黑体"/>
          <w:color w:val="000000"/>
          <w:kern w:val="0"/>
          <w:sz w:val="18"/>
          <w:szCs w:val="18"/>
          <w:lang w:val="en-US" w:eastAsia="zh-CN" w:bidi="ar"/>
        </w:rPr>
        <w:t xml:space="preserve"> </w:t>
      </w:r>
    </w:p>
    <w:p w14:paraId="3A5A8022">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lang w:val="en-US" w:eastAsia="zh-CN"/>
        </w:rPr>
      </w:pPr>
      <w:r>
        <w:rPr>
          <w:rFonts w:hint="eastAsia" w:ascii="宋体" w:hAnsi="宋体" w:eastAsia="宋体" w:cs="宋体"/>
          <w:lang w:val="en-US" w:eastAsia="zh-CN"/>
        </w:rPr>
        <w:t>应符合 GB 14881 的相关规定</w:t>
      </w:r>
      <w:r>
        <w:rPr>
          <w:rFonts w:hint="eastAsia"/>
          <w:lang w:val="en-US" w:eastAsia="zh-CN"/>
        </w:rPr>
        <w:t xml:space="preserve">。 </w:t>
      </w:r>
    </w:p>
    <w:p w14:paraId="7B0C9AEB">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产品贮存区域应保持清洁，产品不得与有毒、有害、有异味的物品混存。 </w:t>
      </w:r>
    </w:p>
    <w:p w14:paraId="5DE4D044">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pPr>
      <w:r>
        <w:rPr>
          <w:rFonts w:hint="eastAsia"/>
          <w:lang w:val="en-US" w:eastAsia="zh-CN"/>
        </w:rPr>
        <w:t xml:space="preserve">运输 </w:t>
      </w:r>
    </w:p>
    <w:p w14:paraId="3FD36660">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产品贮运方式选择、过程控制等应符合GB 14881 的相关规定。 </w:t>
      </w:r>
    </w:p>
    <w:p w14:paraId="413C1EE6">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lang w:val="en-US" w:eastAsia="zh-CN"/>
        </w:rPr>
      </w:pPr>
      <w:r>
        <w:rPr>
          <w:rFonts w:hint="eastAsia" w:ascii="宋体" w:hAnsi="Times New Roman" w:eastAsia="宋体" w:cs="Times New Roman"/>
          <w:kern w:val="0"/>
          <w:sz w:val="21"/>
          <w:szCs w:val="20"/>
          <w:lang w:val="en-US" w:eastAsia="zh-CN" w:bidi="ar-SA"/>
        </w:rPr>
        <w:t>运输和装卸食品的工器具和设备应当保持清洁，无害，降低食品污染的风险。</w:t>
      </w:r>
    </w:p>
    <w:p w14:paraId="0841D551">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对于运输冷藏、冻藏即烹预制菜应符合GB 31605 的规定。 </w:t>
      </w:r>
    </w:p>
    <w:p w14:paraId="5781B954">
      <w:pPr>
        <w:pStyle w:val="38"/>
        <w:ind w:left="0"/>
        <w:rPr>
          <w:rFonts w:hint="eastAsia" w:hAnsi="Times New Roman" w:cs="Times New Roman"/>
          <w:lang w:val="en-US" w:eastAsia="zh-CN"/>
        </w:rPr>
      </w:pPr>
      <w:bookmarkStart w:id="35" w:name="_Toc9967"/>
      <w:r>
        <w:rPr>
          <w:rFonts w:hint="eastAsia" w:hAnsi="Times New Roman" w:cs="Times New Roman"/>
          <w:lang w:val="en-US" w:eastAsia="zh-CN"/>
        </w:rPr>
        <w:t>追溯和召回</w:t>
      </w:r>
      <w:bookmarkEnd w:id="35"/>
      <w:r>
        <w:rPr>
          <w:rFonts w:hint="eastAsia" w:hAnsi="Times New Roman" w:cs="Times New Roman"/>
          <w:lang w:val="en-US" w:eastAsia="zh-CN"/>
        </w:rPr>
        <w:t xml:space="preserve"> </w:t>
      </w:r>
    </w:p>
    <w:p w14:paraId="4BA7C306">
      <w:pPr>
        <w:pStyle w:val="48"/>
        <w:bidi w:val="0"/>
      </w:pPr>
      <w:r>
        <w:rPr>
          <w:rFonts w:hint="eastAsia"/>
          <w:lang w:val="en-US" w:eastAsia="zh-CN"/>
        </w:rPr>
        <w:t xml:space="preserve">追溯 </w:t>
      </w:r>
    </w:p>
    <w:p w14:paraId="7AD72D07">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应建立食品安全追溯体系，保证食品可追溯。 </w:t>
      </w:r>
    </w:p>
    <w:p w14:paraId="427F8119">
      <w:pPr>
        <w:pStyle w:val="48"/>
        <w:bidi w:val="0"/>
      </w:pPr>
      <w:r>
        <w:rPr>
          <w:rFonts w:hint="eastAsia"/>
          <w:lang w:val="en-US" w:eastAsia="zh-CN"/>
        </w:rPr>
        <w:t xml:space="preserve">召回 </w:t>
      </w:r>
    </w:p>
    <w:p w14:paraId="40C3E021">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应按照《食品召回管理办法》的规定执行</w:t>
      </w:r>
      <w:r>
        <w:rPr>
          <w:rFonts w:hint="eastAsia" w:ascii="宋体" w:hAnsi="Times New Roman" w:cs="Times New Roman"/>
          <w:kern w:val="0"/>
          <w:sz w:val="21"/>
          <w:szCs w:val="20"/>
          <w:lang w:val="en-US" w:eastAsia="zh-CN" w:bidi="ar-SA"/>
        </w:rPr>
        <w:t>。</w:t>
      </w:r>
    </w:p>
    <w:p w14:paraId="2EEB2057">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一旦发现不符合食品安全标准的产品，应当立即停止生产，召回已经上市销售的食品，通知相关生产经营者和消费者，并记录召回和通知情况。 </w:t>
      </w:r>
    </w:p>
    <w:p w14:paraId="4DB16555">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对被召回的食品，应当进行无害化处理或者</w:t>
      </w:r>
      <w:r>
        <w:rPr>
          <w:rFonts w:hint="eastAsia" w:ascii="宋体" w:eastAsia="宋体" w:cs="Times New Roman"/>
          <w:kern w:val="0"/>
          <w:sz w:val="21"/>
          <w:szCs w:val="20"/>
          <w:lang w:val="en-US" w:eastAsia="zh-CN" w:bidi="ar-SA"/>
        </w:rPr>
        <w:t>进行</w:t>
      </w:r>
      <w:r>
        <w:rPr>
          <w:rFonts w:hint="eastAsia" w:ascii="宋体" w:hAnsi="Times New Roman" w:eastAsia="宋体" w:cs="Times New Roman"/>
          <w:kern w:val="0"/>
          <w:sz w:val="21"/>
          <w:szCs w:val="20"/>
          <w:lang w:val="en-US" w:eastAsia="zh-CN" w:bidi="ar-SA"/>
        </w:rPr>
        <w:t>销毁，防止其再次流入市场。对因标签、标识或者说明书不符合食品安全标准而被召回的食品，应采取能保证食品安全、且便于重新销售时向消费者明示的补救措施。</w:t>
      </w:r>
    </w:p>
    <w:p w14:paraId="7E05E612">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应合理划分记录生产批次，采用产品批号等方式进行标识，便于产品追溯。</w:t>
      </w:r>
    </w:p>
    <w:p w14:paraId="6580E146">
      <w:pPr>
        <w:pStyle w:val="38"/>
        <w:ind w:left="0"/>
        <w:rPr>
          <w:rFonts w:hint="eastAsia" w:hAnsi="Times New Roman" w:cs="Times New Roman"/>
          <w:lang w:val="en-US" w:eastAsia="zh-CN"/>
        </w:rPr>
      </w:pPr>
      <w:r>
        <w:rPr>
          <w:rFonts w:hint="eastAsia" w:hAnsi="Times New Roman" w:cs="Times New Roman"/>
          <w:lang w:val="en-US" w:eastAsia="zh-CN"/>
        </w:rPr>
        <w:t xml:space="preserve"> </w:t>
      </w:r>
      <w:bookmarkStart w:id="36" w:name="_Toc27027"/>
      <w:r>
        <w:rPr>
          <w:rFonts w:hint="eastAsia" w:hAnsi="Times New Roman" w:cs="Times New Roman"/>
          <w:lang w:val="en-US" w:eastAsia="zh-CN"/>
        </w:rPr>
        <w:t>培训</w:t>
      </w:r>
      <w:bookmarkEnd w:id="36"/>
      <w:r>
        <w:rPr>
          <w:rFonts w:hint="eastAsia" w:hAnsi="Times New Roman" w:cs="Times New Roman"/>
          <w:lang w:val="en-US" w:eastAsia="zh-CN"/>
        </w:rPr>
        <w:t xml:space="preserve"> </w:t>
      </w:r>
    </w:p>
    <w:p w14:paraId="2AD32C69">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 xml:space="preserve">应符合GB 14881的相关规定。 </w:t>
      </w:r>
    </w:p>
    <w:p w14:paraId="3EF14FDD">
      <w:pPr>
        <w:pStyle w:val="38"/>
        <w:ind w:left="0"/>
        <w:rPr>
          <w:rFonts w:hint="default" w:hAnsi="Times New Roman" w:cs="Times New Roman"/>
          <w:lang w:val="en-US" w:eastAsia="zh-CN"/>
        </w:rPr>
      </w:pPr>
      <w:bookmarkStart w:id="37" w:name="_Toc26815"/>
      <w:r>
        <w:rPr>
          <w:rFonts w:hint="default" w:hAnsi="Times New Roman" w:cs="Times New Roman"/>
          <w:lang w:val="en-US" w:eastAsia="zh-CN"/>
        </w:rPr>
        <w:t>记录和文件管理</w:t>
      </w:r>
      <w:bookmarkEnd w:id="37"/>
      <w:r>
        <w:rPr>
          <w:rFonts w:hint="default" w:hAnsi="Times New Roman" w:cs="Times New Roman"/>
          <w:lang w:val="en-US" w:eastAsia="zh-CN"/>
        </w:rPr>
        <w:t xml:space="preserve"> </w:t>
      </w:r>
    </w:p>
    <w:p w14:paraId="44844D79">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应建立记录制度，对食品生产中采购、加工、贮存、检验、销售等环节详细记录。记录内容应</w:t>
      </w:r>
      <w:r>
        <w:rPr>
          <w:rFonts w:hint="default" w:ascii="Times New Roman" w:hAnsi="Times New Roman" w:eastAsia="宋体" w:cs="Times New Roman"/>
          <w:color w:val="000000"/>
          <w:kern w:val="0"/>
          <w:sz w:val="21"/>
          <w:szCs w:val="21"/>
          <w:lang w:val="en-US" w:eastAsia="zh-CN" w:bidi="ar"/>
        </w:rPr>
        <w:t xml:space="preserve">完整、真实，确保对产品从原料采购到产品销售的所有环节都可进行有效追溯。 </w:t>
      </w:r>
    </w:p>
    <w:p w14:paraId="7423C48B">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应如实记录食品原料、食品添加剂和食品包装材料等食品相关产品的名称、规格、数量、供</w:t>
      </w:r>
      <w:r>
        <w:rPr>
          <w:rFonts w:hint="default" w:ascii="Times New Roman" w:hAnsi="Times New Roman" w:eastAsia="宋体" w:cs="Times New Roman"/>
          <w:color w:val="000000"/>
          <w:kern w:val="0"/>
          <w:sz w:val="21"/>
          <w:szCs w:val="21"/>
          <w:lang w:val="en-US" w:eastAsia="zh-CN" w:bidi="ar"/>
        </w:rPr>
        <w:t xml:space="preserve">货者名称及联系方式、进货日期等内容。 </w:t>
      </w:r>
    </w:p>
    <w:p w14:paraId="375B3A00">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应如实记录食品的加工过程（包括工艺参数、环境监测等）、产品贮存情况及产品的检验批</w:t>
      </w:r>
      <w:r>
        <w:rPr>
          <w:rFonts w:hint="default" w:ascii="Times New Roman" w:hAnsi="Times New Roman" w:eastAsia="宋体" w:cs="Times New Roman"/>
          <w:color w:val="000000"/>
          <w:kern w:val="0"/>
          <w:sz w:val="21"/>
          <w:szCs w:val="21"/>
          <w:lang w:val="en-US" w:eastAsia="zh-CN" w:bidi="ar"/>
        </w:rPr>
        <w:t xml:space="preserve">号、检验日期、检验人员、检验方法、检验结果等内容。 </w:t>
      </w:r>
    </w:p>
    <w:p w14:paraId="7769A14F">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应如实记录出厂产品的名称、规格、数量、生产日期、生产批号、购货者名称及联系方式、</w:t>
      </w:r>
      <w:r>
        <w:rPr>
          <w:rFonts w:hint="default" w:ascii="Times New Roman" w:hAnsi="Times New Roman" w:eastAsia="宋体" w:cs="Times New Roman"/>
          <w:color w:val="000000"/>
          <w:kern w:val="0"/>
          <w:sz w:val="21"/>
          <w:szCs w:val="21"/>
          <w:lang w:val="en-US" w:eastAsia="zh-CN" w:bidi="ar"/>
        </w:rPr>
        <w:t xml:space="preserve">检验合格单、销售日期等内容。 </w:t>
      </w:r>
    </w:p>
    <w:p w14:paraId="2373F75C">
      <w:pPr>
        <w:pStyle w:val="47"/>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应如实记录发生召回的食品名称、批次、规格、数量、发生召回的原因及后续整改方案等内</w:t>
      </w:r>
      <w:r>
        <w:rPr>
          <w:rFonts w:hint="default" w:ascii="Times New Roman" w:hAnsi="Times New Roman" w:eastAsia="宋体" w:cs="Times New Roman"/>
          <w:color w:val="000000"/>
          <w:kern w:val="0"/>
          <w:sz w:val="21"/>
          <w:szCs w:val="21"/>
          <w:lang w:val="en-US" w:eastAsia="zh-CN" w:bidi="ar"/>
        </w:rPr>
        <w:t xml:space="preserve">容。 </w:t>
      </w:r>
    </w:p>
    <w:p w14:paraId="7BFD9E2C">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食品原料、食品添加剂和食品包装材料等食品相关产品进货查验记录、食品出厂检验记录应由</w:t>
      </w:r>
      <w:r>
        <w:rPr>
          <w:rFonts w:hint="default" w:ascii="Times New Roman" w:hAnsi="Times New Roman" w:eastAsia="宋体" w:cs="Times New Roman"/>
          <w:color w:val="000000"/>
          <w:kern w:val="0"/>
          <w:sz w:val="21"/>
          <w:szCs w:val="21"/>
          <w:lang w:val="en-US" w:eastAsia="zh-CN" w:bidi="ar"/>
        </w:rPr>
        <w:t xml:space="preserve">记录和审核人员复核签名，记录内容应完整。保存期限不得少于 2 年。 </w:t>
      </w:r>
    </w:p>
    <w:p w14:paraId="466A05D5">
      <w:pPr>
        <w:pStyle w:val="48"/>
        <w:keepNext w:val="0"/>
        <w:keepLines w:val="0"/>
        <w:pageBreakBefore w:val="0"/>
        <w:widowControl/>
        <w:kinsoku/>
        <w:wordWrap/>
        <w:overflowPunct/>
        <w:topLinePunct w:val="0"/>
        <w:autoSpaceDE/>
        <w:autoSpaceDN/>
        <w:bidi w:val="0"/>
        <w:adjustRightInd/>
        <w:snapToGrid/>
        <w:spacing w:before="157" w:beforeLines="50" w:after="157" w:afterLines="50" w:line="276"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应建立客户投诉处理机制。对客户提出的书面或口头意见、投诉，企业相关管理部门应作记录</w:t>
      </w:r>
      <w:r>
        <w:rPr>
          <w:rFonts w:hint="default" w:ascii="Times New Roman" w:hAnsi="Times New Roman" w:eastAsia="宋体" w:cs="Times New Roman"/>
          <w:color w:val="000000"/>
          <w:kern w:val="0"/>
          <w:sz w:val="21"/>
          <w:szCs w:val="21"/>
          <w:lang w:val="en-US" w:eastAsia="zh-CN" w:bidi="ar"/>
        </w:rPr>
        <w:t xml:space="preserve">并查找原因，妥善处理。 </w:t>
      </w:r>
    </w:p>
    <w:p w14:paraId="477450A5">
      <w:pPr>
        <w:pStyle w:val="20"/>
        <w:rPr>
          <w:rFonts w:hint="default" w:ascii="Times New Roman" w:hAnsi="Times New Roman" w:eastAsia="宋体" w:cs="Times New Roman"/>
          <w:color w:val="000000"/>
          <w:kern w:val="0"/>
          <w:sz w:val="21"/>
          <w:szCs w:val="21"/>
          <w:lang w:val="en-US" w:eastAsia="zh-CN" w:bidi="ar"/>
        </w:rPr>
      </w:pPr>
    </w:p>
    <w:p w14:paraId="246FED6C">
      <w:pPr>
        <w:pStyle w:val="115"/>
        <w:framePr w:wrap="around"/>
      </w:pPr>
      <w:r>
        <w:rPr>
          <w:rFonts w:hint="eastAsia"/>
        </w:rPr>
        <w:t>_________________________________</w:t>
      </w:r>
    </w:p>
    <w:p w14:paraId="5B7B8514">
      <w:pPr>
        <w:pStyle w:val="20"/>
        <w:rPr>
          <w:rFonts w:hint="default" w:ascii="Times New Roman" w:hAnsi="Times New Roman" w:eastAsia="宋体" w:cs="Times New Roman"/>
          <w:color w:val="000000"/>
          <w:kern w:val="0"/>
          <w:sz w:val="21"/>
          <w:szCs w:val="21"/>
          <w:lang w:val="en-US" w:eastAsia="zh-CN" w:bidi="ar"/>
        </w:rPr>
      </w:pPr>
    </w:p>
    <w:p w14:paraId="56B21589">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276" w:lineRule="auto"/>
        <w:ind w:firstLine="420" w:firstLineChars="200"/>
        <w:jc w:val="both"/>
        <w:textAlignment w:val="auto"/>
        <w:rPr>
          <w:rFonts w:hint="eastAsia" w:ascii="宋体" w:hAnsi="Times New Roman" w:eastAsia="宋体" w:cs="Times New Roman"/>
          <w:kern w:val="0"/>
          <w:sz w:val="21"/>
          <w:szCs w:val="20"/>
          <w:lang w:val="en-US" w:eastAsia="zh-CN" w:bidi="ar-SA"/>
        </w:rPr>
      </w:pPr>
    </w:p>
    <w:p w14:paraId="7629729C">
      <w:pPr>
        <w:pStyle w:val="86"/>
        <w:numPr>
          <w:ilvl w:val="0"/>
          <w:numId w:val="0"/>
        </w:numPr>
        <w:bidi w:val="0"/>
        <w:jc w:val="both"/>
        <w:rPr>
          <w:rFonts w:hint="eastAsia"/>
          <w:lang w:eastAsia="zh-CN"/>
        </w:rPr>
      </w:pPr>
    </w:p>
    <w:sectPr>
      <w:pgSz w:w="11906" w:h="16838"/>
      <w:pgMar w:top="567" w:right="1134" w:bottom="1134" w:left="1418" w:header="1418" w:footer="1134" w:gutter="0"/>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4837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6F925">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ACAE6">
    <w:pPr>
      <w:pStyle w:val="51"/>
      <w:bidi w:val="0"/>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03A79">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CD53E">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EAA1C">
    <w:pPr>
      <w:pStyle w:val="39"/>
      <w:rPr>
        <w:rFonts w:hint="eastAsia" w:eastAsia="黑体"/>
        <w:lang w:eastAsia="zh-CN"/>
      </w:rPr>
    </w:pPr>
    <w:r>
      <w:rPr>
        <w:rFonts w:hint="eastAsia"/>
        <w:lang w:eastAsia="zh-CN"/>
      </w:rPr>
      <w:t>DB61/</w:t>
    </w:r>
    <w:r>
      <w:rPr>
        <w:rFonts w:hint="eastAsia"/>
        <w:lang w:val="en-US" w:eastAsia="zh-CN"/>
      </w:rPr>
      <w:t>XXX</w:t>
    </w:r>
    <w:r>
      <w:rPr>
        <w:rFonts w:hint="eastAsia"/>
        <w:lang w:eastAsia="zh-CN"/>
      </w:rPr>
      <w:t xml:space="preserve"> —XXXX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2CFADC"/>
    <w:multiLevelType w:val="multilevel"/>
    <w:tmpl w:val="CC2CFADC"/>
    <w:lvl w:ilvl="0" w:tentative="0">
      <w:start w:val="1"/>
      <w:numFmt w:val="none"/>
      <w:pStyle w:val="55"/>
      <w:suff w:val="nothing"/>
      <w:lvlText w:val="%1——"/>
      <w:lvlJc w:val="left"/>
      <w:pPr>
        <w:ind w:left="833" w:hanging="408"/>
      </w:pPr>
      <w:rPr>
        <w:rFonts w:hint="eastAsia"/>
      </w:rPr>
    </w:lvl>
    <w:lvl w:ilvl="1" w:tentative="0">
      <w:start w:val="1"/>
      <w:numFmt w:val="bullet"/>
      <w:pStyle w:val="57"/>
      <w:lvlText w:val=""/>
      <w:lvlJc w:val="left"/>
      <w:pPr>
        <w:tabs>
          <w:tab w:val="left" w:pos="760"/>
        </w:tabs>
        <w:ind w:left="1264" w:hanging="413"/>
      </w:pPr>
      <w:rPr>
        <w:rFonts w:hint="default" w:ascii="Symbol" w:hAnsi="Symbol"/>
        <w:color w:val="auto"/>
      </w:rPr>
    </w:lvl>
    <w:lvl w:ilvl="2" w:tentative="0">
      <w:start w:val="1"/>
      <w:numFmt w:val="bullet"/>
      <w:pStyle w:val="6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079102AD"/>
    <w:multiLevelType w:val="multilevel"/>
    <w:tmpl w:val="079102AD"/>
    <w:lvl w:ilvl="0" w:tentative="0">
      <w:start w:val="1"/>
      <w:numFmt w:val="decimal"/>
      <w:pStyle w:val="6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69"/>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4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3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7"/>
      <w:suff w:val="nothing"/>
      <w:lvlText w:val="%1.%2.%3　"/>
      <w:lvlJc w:val="left"/>
      <w:pPr>
        <w:ind w:left="0" w:firstLine="0"/>
      </w:pPr>
      <w:rPr>
        <w:rFonts w:hint="eastAsia" w:ascii="黑体" w:hAnsi="Times New Roman" w:eastAsia="黑体"/>
        <w:b w:val="0"/>
        <w:i w:val="0"/>
        <w:sz w:val="21"/>
      </w:rPr>
    </w:lvl>
    <w:lvl w:ilvl="3" w:tentative="0">
      <w:start w:val="1"/>
      <w:numFmt w:val="decimal"/>
      <w:pStyle w:val="46"/>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3D733618"/>
    <w:multiLevelType w:val="multilevel"/>
    <w:tmpl w:val="3D733618"/>
    <w:lvl w:ilvl="0" w:tentative="0">
      <w:start w:val="1"/>
      <w:numFmt w:val="decimal"/>
      <w:pStyle w:val="2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7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0"/>
      <w:lvlText w:val="%2)"/>
      <w:lvlJc w:val="left"/>
      <w:pPr>
        <w:tabs>
          <w:tab w:val="left" w:pos="1260"/>
        </w:tabs>
        <w:ind w:left="1259" w:hanging="419"/>
      </w:pPr>
      <w:rPr>
        <w:rFonts w:hint="eastAsia"/>
      </w:rPr>
    </w:lvl>
    <w:lvl w:ilvl="2" w:tentative="0">
      <w:start w:val="1"/>
      <w:numFmt w:val="decimal"/>
      <w:pStyle w:val="6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3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6"/>
      <w:lvlText w:val="%1"/>
      <w:lvlJc w:val="left"/>
      <w:pPr>
        <w:tabs>
          <w:tab w:val="left" w:pos="0"/>
        </w:tabs>
        <w:ind w:left="0" w:hanging="425"/>
      </w:pPr>
      <w:rPr>
        <w:rFonts w:hint="eastAsia"/>
      </w:rPr>
    </w:lvl>
    <w:lvl w:ilvl="1" w:tentative="0">
      <w:start w:val="1"/>
      <w:numFmt w:val="decimal"/>
      <w:pStyle w:val="7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8"/>
      <w:suff w:val="nothing"/>
      <w:lvlText w:val="%1.%2.%3　"/>
      <w:lvlJc w:val="left"/>
      <w:pPr>
        <w:ind w:left="0" w:firstLine="0"/>
      </w:pPr>
      <w:rPr>
        <w:rFonts w:hint="eastAsia" w:ascii="黑体" w:hAnsi="Times New Roman" w:eastAsia="黑体"/>
        <w:b w:val="0"/>
        <w:i w:val="0"/>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6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11"/>
  </w:num>
  <w:num w:numId="3">
    <w:abstractNumId w:val="4"/>
  </w:num>
  <w:num w:numId="4">
    <w:abstractNumId w:val="6"/>
  </w:num>
  <w:num w:numId="5">
    <w:abstractNumId w:val="3"/>
  </w:num>
  <w:num w:numId="6">
    <w:abstractNumId w:val="9"/>
  </w:num>
  <w:num w:numId="7">
    <w:abstractNumId w:val="0"/>
  </w:num>
  <w:num w:numId="8">
    <w:abstractNumId w:val="16"/>
  </w:num>
  <w:num w:numId="9">
    <w:abstractNumId w:val="10"/>
  </w:num>
  <w:num w:numId="10">
    <w:abstractNumId w:val="5"/>
  </w:num>
  <w:num w:numId="11">
    <w:abstractNumId w:val="1"/>
  </w:num>
  <w:num w:numId="12">
    <w:abstractNumId w:val="2"/>
  </w:num>
  <w:num w:numId="13">
    <w:abstractNumId w:val="12"/>
  </w:num>
  <w:num w:numId="14">
    <w:abstractNumId w:val="14"/>
  </w:num>
  <w:num w:numId="15">
    <w:abstractNumId w:val="15"/>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1" w:cryptProviderType="rsaFull" w:cryptAlgorithmClass="hash" w:cryptAlgorithmType="typeAny" w:cryptAlgorithmSid="4" w:cryptSpinCount="0" w:hash="FtJakOrYMkcyf5k+Dnc+yluT9QQ=" w:salt="WpJ0d+HQNzonO6opNvjIFw=="/>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MzRjZGVjYjc4Y2E0YWQ4ODkwMDRkNTQxMmZiMWIifQ=="/>
  </w:docVars>
  <w:rsids>
    <w:rsidRoot w:val="71007BD6"/>
    <w:rsid w:val="00000244"/>
    <w:rsid w:val="0000185F"/>
    <w:rsid w:val="0000586F"/>
    <w:rsid w:val="00013D86"/>
    <w:rsid w:val="00013E02"/>
    <w:rsid w:val="0002143C"/>
    <w:rsid w:val="00025A65"/>
    <w:rsid w:val="00026C31"/>
    <w:rsid w:val="00027280"/>
    <w:rsid w:val="000320A7"/>
    <w:rsid w:val="00035925"/>
    <w:rsid w:val="00067CDF"/>
    <w:rsid w:val="00074FBE"/>
    <w:rsid w:val="00075166"/>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320D"/>
    <w:rsid w:val="00FE23DE"/>
    <w:rsid w:val="013273EC"/>
    <w:rsid w:val="01840230"/>
    <w:rsid w:val="0198178C"/>
    <w:rsid w:val="025F324A"/>
    <w:rsid w:val="03653EFA"/>
    <w:rsid w:val="03AC097E"/>
    <w:rsid w:val="04F8051E"/>
    <w:rsid w:val="053352DA"/>
    <w:rsid w:val="0566754A"/>
    <w:rsid w:val="074470F3"/>
    <w:rsid w:val="07C70C37"/>
    <w:rsid w:val="0A702A7C"/>
    <w:rsid w:val="0AF17E80"/>
    <w:rsid w:val="0B114967"/>
    <w:rsid w:val="0CED1370"/>
    <w:rsid w:val="0D4B2BD1"/>
    <w:rsid w:val="0DA53016"/>
    <w:rsid w:val="109C59EB"/>
    <w:rsid w:val="10F24E91"/>
    <w:rsid w:val="11F07C78"/>
    <w:rsid w:val="121141FB"/>
    <w:rsid w:val="1372479D"/>
    <w:rsid w:val="13ED2FD4"/>
    <w:rsid w:val="14AE7CE3"/>
    <w:rsid w:val="1553533E"/>
    <w:rsid w:val="17C41C2A"/>
    <w:rsid w:val="18395224"/>
    <w:rsid w:val="1995640C"/>
    <w:rsid w:val="19ED6462"/>
    <w:rsid w:val="1A443699"/>
    <w:rsid w:val="1A936358"/>
    <w:rsid w:val="1B9B6FA4"/>
    <w:rsid w:val="1BD34621"/>
    <w:rsid w:val="1D866737"/>
    <w:rsid w:val="1D8C3177"/>
    <w:rsid w:val="1E57048B"/>
    <w:rsid w:val="1ECF4B6B"/>
    <w:rsid w:val="2032567C"/>
    <w:rsid w:val="2078238D"/>
    <w:rsid w:val="215D1B07"/>
    <w:rsid w:val="21DC5FE5"/>
    <w:rsid w:val="21E32F95"/>
    <w:rsid w:val="240A18C7"/>
    <w:rsid w:val="25D34781"/>
    <w:rsid w:val="27210C87"/>
    <w:rsid w:val="2768778E"/>
    <w:rsid w:val="27934C2A"/>
    <w:rsid w:val="27B85BF8"/>
    <w:rsid w:val="28E419BA"/>
    <w:rsid w:val="29AF2F86"/>
    <w:rsid w:val="2A0D4348"/>
    <w:rsid w:val="2C4E7A29"/>
    <w:rsid w:val="2C9C22D2"/>
    <w:rsid w:val="2DBF3173"/>
    <w:rsid w:val="2E0066B0"/>
    <w:rsid w:val="2FFE7630"/>
    <w:rsid w:val="301461DC"/>
    <w:rsid w:val="308273F4"/>
    <w:rsid w:val="31690449"/>
    <w:rsid w:val="32C86814"/>
    <w:rsid w:val="333B5217"/>
    <w:rsid w:val="33CB4E4D"/>
    <w:rsid w:val="37385849"/>
    <w:rsid w:val="37CB4937"/>
    <w:rsid w:val="37EF0251"/>
    <w:rsid w:val="389D42E9"/>
    <w:rsid w:val="38E20A37"/>
    <w:rsid w:val="3BDC10A6"/>
    <w:rsid w:val="3CE8111C"/>
    <w:rsid w:val="3CF67395"/>
    <w:rsid w:val="3ED6025A"/>
    <w:rsid w:val="401E7B66"/>
    <w:rsid w:val="41816085"/>
    <w:rsid w:val="41A4480D"/>
    <w:rsid w:val="42333D41"/>
    <w:rsid w:val="4279436D"/>
    <w:rsid w:val="42C62596"/>
    <w:rsid w:val="43B75D49"/>
    <w:rsid w:val="449435FC"/>
    <w:rsid w:val="45182DE5"/>
    <w:rsid w:val="45A97AD8"/>
    <w:rsid w:val="461D6A66"/>
    <w:rsid w:val="46BA58D8"/>
    <w:rsid w:val="478051F8"/>
    <w:rsid w:val="47A67C0A"/>
    <w:rsid w:val="48CC36A0"/>
    <w:rsid w:val="498212F1"/>
    <w:rsid w:val="49A918A5"/>
    <w:rsid w:val="49F07DDC"/>
    <w:rsid w:val="4AAD0980"/>
    <w:rsid w:val="4B856A13"/>
    <w:rsid w:val="4B860C17"/>
    <w:rsid w:val="4DB9043D"/>
    <w:rsid w:val="4E286F80"/>
    <w:rsid w:val="4EF00B65"/>
    <w:rsid w:val="4F627ECB"/>
    <w:rsid w:val="518608A2"/>
    <w:rsid w:val="51AD723E"/>
    <w:rsid w:val="52FD47F2"/>
    <w:rsid w:val="531C6FD2"/>
    <w:rsid w:val="55202FD8"/>
    <w:rsid w:val="55DA2997"/>
    <w:rsid w:val="577640D9"/>
    <w:rsid w:val="58193F35"/>
    <w:rsid w:val="584D616C"/>
    <w:rsid w:val="59924092"/>
    <w:rsid w:val="5A9102A6"/>
    <w:rsid w:val="5B0A2767"/>
    <w:rsid w:val="5B224193"/>
    <w:rsid w:val="5E3B2B9A"/>
    <w:rsid w:val="5E762371"/>
    <w:rsid w:val="5EF56329"/>
    <w:rsid w:val="60A90CE4"/>
    <w:rsid w:val="60CA4935"/>
    <w:rsid w:val="61053FE3"/>
    <w:rsid w:val="615351DF"/>
    <w:rsid w:val="62916E3A"/>
    <w:rsid w:val="665A38D1"/>
    <w:rsid w:val="6694354D"/>
    <w:rsid w:val="6758282D"/>
    <w:rsid w:val="678609C1"/>
    <w:rsid w:val="681E15DE"/>
    <w:rsid w:val="6823091D"/>
    <w:rsid w:val="693E3CEF"/>
    <w:rsid w:val="69C84AE0"/>
    <w:rsid w:val="6ADF208D"/>
    <w:rsid w:val="6B433CB2"/>
    <w:rsid w:val="6F28096A"/>
    <w:rsid w:val="6FAC1992"/>
    <w:rsid w:val="71007BD6"/>
    <w:rsid w:val="7166708C"/>
    <w:rsid w:val="71AB4D68"/>
    <w:rsid w:val="74CC21AE"/>
    <w:rsid w:val="76354989"/>
    <w:rsid w:val="778D40B9"/>
    <w:rsid w:val="77D64B58"/>
    <w:rsid w:val="78683675"/>
    <w:rsid w:val="79532E24"/>
    <w:rsid w:val="7B86755B"/>
    <w:rsid w:val="7FB83A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0">
    <w:name w:val="Default Paragraph Font"/>
    <w:semiHidden/>
    <w:qFormat/>
    <w:uiPriority w:val="0"/>
  </w:style>
  <w:style w:type="table" w:default="1" w:styleId="28">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2"/>
      </w:tabs>
      <w:suppressAutoHyphens w:val="0"/>
      <w:ind w:firstLine="105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2"/>
      </w:tabs>
      <w:suppressAutoHyphens w:val="0"/>
      <w:ind w:firstLine="630" w:firstLineChars="300"/>
      <w:jc w:val="left"/>
    </w:pPr>
    <w:rPr>
      <w:rFonts w:ascii="宋体"/>
      <w:szCs w:val="21"/>
    </w:rPr>
  </w:style>
  <w:style w:type="paragraph" w:styleId="10">
    <w:name w:val="toc 3"/>
    <w:basedOn w:val="1"/>
    <w:next w:val="1"/>
    <w:semiHidden/>
    <w:qFormat/>
    <w:uiPriority w:val="0"/>
    <w:pPr>
      <w:tabs>
        <w:tab w:val="right" w:leader="dot" w:pos="9242"/>
      </w:tabs>
      <w:suppressAutoHyphens w:val="0"/>
      <w:ind w:firstLine="210" w:firstLineChars="100"/>
      <w:jc w:val="left"/>
    </w:pPr>
    <w:rPr>
      <w:rFonts w:ascii="宋体"/>
      <w:szCs w:val="21"/>
    </w:rPr>
  </w:style>
  <w:style w:type="paragraph" w:styleId="11">
    <w:name w:val="toc 8"/>
    <w:basedOn w:val="1"/>
    <w:next w:val="1"/>
    <w:semiHidden/>
    <w:qFormat/>
    <w:uiPriority w:val="0"/>
    <w:pPr>
      <w:tabs>
        <w:tab w:val="right" w:leader="dot" w:pos="9242"/>
      </w:tabs>
      <w:suppressAutoHyphens w:val="0"/>
      <w:ind w:firstLine="1260"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footer"/>
    <w:basedOn w:val="1"/>
    <w:qFormat/>
    <w:uiPriority w:val="0"/>
    <w:pPr>
      <w:snapToGrid w:val="0"/>
      <w:ind w:right="210" w:rightChars="100"/>
      <w:jc w:val="right"/>
    </w:pPr>
    <w:rPr>
      <w:sz w:val="18"/>
      <w:szCs w:val="18"/>
    </w:rPr>
  </w:style>
  <w:style w:type="paragraph" w:styleId="15">
    <w:name w:val="header"/>
    <w:basedOn w:val="1"/>
    <w:qFormat/>
    <w:uiPriority w:val="0"/>
    <w:pPr>
      <w:snapToGrid w:val="0"/>
      <w:jc w:val="left"/>
    </w:pPr>
    <w:rPr>
      <w:sz w:val="18"/>
      <w:szCs w:val="18"/>
    </w:rPr>
  </w:style>
  <w:style w:type="paragraph" w:styleId="16">
    <w:name w:val="toc 1"/>
    <w:basedOn w:val="1"/>
    <w:next w:val="1"/>
    <w:semiHidden/>
    <w:qFormat/>
    <w:uiPriority w:val="0"/>
    <w:pPr>
      <w:tabs>
        <w:tab w:val="right" w:leader="dot" w:pos="9242"/>
      </w:tabs>
      <w:spacing w:before="79" w:beforeLines="25" w:after="79" w:afterLines="25"/>
      <w:jc w:val="left"/>
    </w:pPr>
    <w:rPr>
      <w:rFonts w:ascii="宋体"/>
      <w:szCs w:val="21"/>
    </w:rPr>
  </w:style>
  <w:style w:type="paragraph" w:styleId="17">
    <w:name w:val="toc 4"/>
    <w:basedOn w:val="1"/>
    <w:next w:val="1"/>
    <w:semiHidden/>
    <w:qFormat/>
    <w:uiPriority w:val="0"/>
    <w:pPr>
      <w:tabs>
        <w:tab w:val="right" w:leader="dot" w:pos="9242"/>
      </w:tabs>
      <w:suppressAutoHyphens w:val="0"/>
      <w:ind w:firstLine="420" w:firstLineChars="200"/>
      <w:jc w:val="left"/>
    </w:pPr>
    <w:rPr>
      <w:rFonts w:ascii="宋体"/>
      <w:szCs w:val="21"/>
    </w:rPr>
  </w:style>
  <w:style w:type="paragraph" w:styleId="18">
    <w:name w:val="index heading"/>
    <w:basedOn w:val="1"/>
    <w:next w:val="19"/>
    <w:qFormat/>
    <w:uiPriority w:val="0"/>
    <w:pPr>
      <w:spacing w:before="120" w:after="120"/>
      <w:jc w:val="center"/>
    </w:pPr>
    <w:rPr>
      <w:rFonts w:ascii="Calibri" w:hAnsi="Calibri"/>
      <w:b/>
      <w:bCs/>
      <w:iCs/>
      <w:szCs w:val="20"/>
    </w:rPr>
  </w:style>
  <w:style w:type="paragraph" w:styleId="19">
    <w:name w:val="index 1"/>
    <w:basedOn w:val="1"/>
    <w:next w:val="20"/>
    <w:qFormat/>
    <w:uiPriority w:val="0"/>
    <w:pPr>
      <w:tabs>
        <w:tab w:val="right" w:leader="dot" w:pos="9299"/>
      </w:tabs>
      <w:jc w:val="left"/>
    </w:pPr>
    <w:rPr>
      <w:rFonts w:ascii="宋体"/>
      <w:szCs w:val="21"/>
    </w:rPr>
  </w:style>
  <w:style w:type="paragraph" w:customStyle="1" w:styleId="20">
    <w:name w:val="段"/>
    <w:link w:val="1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1">
    <w:name w:val="footnote text"/>
    <w:basedOn w:val="1"/>
    <w:qFormat/>
    <w:uiPriority w:val="0"/>
    <w:pPr>
      <w:numPr>
        <w:ilvl w:val="0"/>
        <w:numId w:val="1"/>
      </w:numPr>
      <w:snapToGrid w:val="0"/>
      <w:jc w:val="left"/>
    </w:pPr>
    <w:rPr>
      <w:rFonts w:ascii="宋体"/>
      <w:sz w:val="18"/>
      <w:szCs w:val="18"/>
    </w:rPr>
  </w:style>
  <w:style w:type="paragraph" w:styleId="22">
    <w:name w:val="toc 6"/>
    <w:basedOn w:val="1"/>
    <w:next w:val="1"/>
    <w:semiHidden/>
    <w:qFormat/>
    <w:uiPriority w:val="0"/>
    <w:pPr>
      <w:tabs>
        <w:tab w:val="right" w:leader="dot" w:pos="9242"/>
      </w:tabs>
      <w:suppressAutoHyphens w:val="0"/>
      <w:ind w:firstLine="840" w:firstLineChars="400"/>
      <w:jc w:val="left"/>
    </w:pPr>
    <w:rPr>
      <w:rFonts w:ascii="宋体"/>
      <w:szCs w:val="21"/>
    </w:rPr>
  </w:style>
  <w:style w:type="paragraph" w:styleId="23">
    <w:name w:val="index 7"/>
    <w:basedOn w:val="1"/>
    <w:next w:val="1"/>
    <w:qFormat/>
    <w:uiPriority w:val="0"/>
    <w:pPr>
      <w:ind w:left="1470" w:hanging="210"/>
      <w:jc w:val="left"/>
    </w:pPr>
    <w:rPr>
      <w:rFonts w:ascii="Calibri" w:hAnsi="Calibri"/>
      <w:sz w:val="20"/>
      <w:szCs w:val="20"/>
    </w:rPr>
  </w:style>
  <w:style w:type="paragraph" w:styleId="24">
    <w:name w:val="index 9"/>
    <w:basedOn w:val="1"/>
    <w:next w:val="1"/>
    <w:qFormat/>
    <w:uiPriority w:val="0"/>
    <w:pPr>
      <w:ind w:left="1890" w:hanging="210"/>
      <w:jc w:val="left"/>
    </w:pPr>
    <w:rPr>
      <w:rFonts w:ascii="Calibri" w:hAnsi="Calibri"/>
      <w:sz w:val="20"/>
      <w:szCs w:val="20"/>
    </w:rPr>
  </w:style>
  <w:style w:type="paragraph" w:styleId="25">
    <w:name w:val="toc 2"/>
    <w:basedOn w:val="1"/>
    <w:next w:val="1"/>
    <w:semiHidden/>
    <w:qFormat/>
    <w:uiPriority w:val="0"/>
    <w:pPr>
      <w:tabs>
        <w:tab w:val="right" w:leader="dot" w:pos="9242"/>
      </w:tabs>
    </w:pPr>
    <w:rPr>
      <w:rFonts w:ascii="宋体"/>
      <w:szCs w:val="21"/>
    </w:rPr>
  </w:style>
  <w:style w:type="paragraph" w:styleId="26">
    <w:name w:val="toc 9"/>
    <w:basedOn w:val="1"/>
    <w:next w:val="1"/>
    <w:semiHidden/>
    <w:qFormat/>
    <w:uiPriority w:val="0"/>
    <w:pPr>
      <w:ind w:left="1470"/>
      <w:jc w:val="left"/>
    </w:pPr>
    <w:rPr>
      <w:sz w:val="20"/>
      <w:szCs w:val="20"/>
    </w:rPr>
  </w:style>
  <w:style w:type="paragraph" w:styleId="27">
    <w:name w:val="index 2"/>
    <w:basedOn w:val="1"/>
    <w:next w:val="1"/>
    <w:qFormat/>
    <w:uiPriority w:val="0"/>
    <w:pPr>
      <w:ind w:left="420" w:hanging="210"/>
      <w:jc w:val="left"/>
    </w:pPr>
    <w:rPr>
      <w:rFonts w:ascii="Calibri" w:hAnsi="Calibri"/>
      <w:sz w:val="20"/>
      <w:szCs w:val="20"/>
    </w:rPr>
  </w:style>
  <w:style w:type="table" w:styleId="29">
    <w:name w:val="Table Grid"/>
    <w:basedOn w:val="28"/>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endnote reference"/>
    <w:basedOn w:val="30"/>
    <w:semiHidden/>
    <w:qFormat/>
    <w:uiPriority w:val="0"/>
    <w:rPr>
      <w:vertAlign w:val="superscript"/>
    </w:rPr>
  </w:style>
  <w:style w:type="character" w:styleId="32">
    <w:name w:val="page number"/>
    <w:basedOn w:val="30"/>
    <w:qFormat/>
    <w:uiPriority w:val="0"/>
    <w:rPr>
      <w:rFonts w:ascii="Times New Roman" w:hAnsi="Times New Roman" w:eastAsia="宋体"/>
      <w:sz w:val="18"/>
    </w:rPr>
  </w:style>
  <w:style w:type="character" w:styleId="33">
    <w:name w:val="FollowedHyperlink"/>
    <w:basedOn w:val="30"/>
    <w:qFormat/>
    <w:uiPriority w:val="0"/>
    <w:rPr>
      <w:color w:val="800080"/>
      <w:u w:val="single"/>
    </w:rPr>
  </w:style>
  <w:style w:type="character" w:styleId="34">
    <w:name w:val="Hyperlink"/>
    <w:basedOn w:val="30"/>
    <w:qFormat/>
    <w:uiPriority w:val="0"/>
    <w:rPr>
      <w:color w:val="0000FF"/>
      <w:spacing w:val="0"/>
      <w:w w:val="100"/>
      <w:szCs w:val="21"/>
      <w:u w:val="single"/>
    </w:rPr>
  </w:style>
  <w:style w:type="character" w:styleId="35">
    <w:name w:val="footnote reference"/>
    <w:basedOn w:val="30"/>
    <w:semiHidden/>
    <w:qFormat/>
    <w:uiPriority w:val="0"/>
    <w:rPr>
      <w:vertAlign w:val="superscript"/>
    </w:rPr>
  </w:style>
  <w:style w:type="paragraph" w:customStyle="1" w:styleId="36">
    <w:name w:val="正文图标题"/>
    <w:next w:val="20"/>
    <w:qFormat/>
    <w:uiPriority w:val="0"/>
    <w:pPr>
      <w:numPr>
        <w:ilvl w:val="0"/>
        <w:numId w:val="2"/>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7">
    <w:name w:val="图表脚注说明"/>
    <w:basedOn w:val="1"/>
    <w:qFormat/>
    <w:uiPriority w:val="0"/>
    <w:pPr>
      <w:numPr>
        <w:ilvl w:val="0"/>
        <w:numId w:val="3"/>
      </w:numPr>
    </w:pPr>
    <w:rPr>
      <w:rFonts w:ascii="宋体"/>
      <w:sz w:val="18"/>
      <w:szCs w:val="18"/>
    </w:rPr>
  </w:style>
  <w:style w:type="paragraph" w:customStyle="1" w:styleId="38">
    <w:name w:val="章标题"/>
    <w:next w:val="20"/>
    <w:qFormat/>
    <w:uiPriority w:val="0"/>
    <w:pPr>
      <w:numPr>
        <w:ilvl w:val="0"/>
        <w:numId w:val="4"/>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0">
    <w:name w:val="标准书眉一"/>
    <w:qFormat/>
    <w:uiPriority w:val="0"/>
    <w:pPr>
      <w:jc w:val="both"/>
    </w:pPr>
    <w:rPr>
      <w:rFonts w:ascii="Times New Roman" w:hAnsi="Times New Roman" w:eastAsia="宋体" w:cs="Times New Roman"/>
      <w:lang w:val="en-US" w:eastAsia="zh-CN" w:bidi="ar-SA"/>
    </w:rPr>
  </w:style>
  <w:style w:type="paragraph" w:customStyle="1" w:styleId="41">
    <w:name w:val="示例"/>
    <w:next w:val="42"/>
    <w:qFormat/>
    <w:uiPriority w:val="0"/>
    <w:pPr>
      <w:widowControl w:val="0"/>
      <w:numPr>
        <w:ilvl w:val="0"/>
        <w:numId w:val="5"/>
      </w:numPr>
      <w:jc w:val="both"/>
    </w:pPr>
    <w:rPr>
      <w:rFonts w:ascii="宋体" w:hAnsi="Times New Roman" w:eastAsia="宋体" w:cs="Times New Roman"/>
      <w:sz w:val="18"/>
      <w:szCs w:val="18"/>
      <w:lang w:val="en-US" w:eastAsia="zh-CN" w:bidi="ar-SA"/>
    </w:rPr>
  </w:style>
  <w:style w:type="paragraph" w:customStyle="1" w:styleId="4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44">
    <w:name w:val="四级无"/>
    <w:basedOn w:val="45"/>
    <w:qFormat/>
    <w:uiPriority w:val="0"/>
    <w:pPr>
      <w:spacing w:before="0" w:beforeLines="0" w:after="0" w:afterLines="0"/>
    </w:pPr>
    <w:rPr>
      <w:rFonts w:ascii="宋体" w:eastAsia="宋体"/>
    </w:rPr>
  </w:style>
  <w:style w:type="paragraph" w:customStyle="1" w:styleId="45">
    <w:name w:val="四级条标题"/>
    <w:basedOn w:val="46"/>
    <w:next w:val="20"/>
    <w:qFormat/>
    <w:uiPriority w:val="0"/>
    <w:pPr>
      <w:numPr>
        <w:ilvl w:val="4"/>
        <w:numId w:val="4"/>
      </w:numPr>
      <w:outlineLvl w:val="5"/>
    </w:pPr>
  </w:style>
  <w:style w:type="paragraph" w:customStyle="1" w:styleId="46">
    <w:name w:val="三级条标题"/>
    <w:basedOn w:val="47"/>
    <w:next w:val="20"/>
    <w:qFormat/>
    <w:uiPriority w:val="0"/>
    <w:pPr>
      <w:numPr>
        <w:ilvl w:val="3"/>
        <w:numId w:val="4"/>
      </w:numPr>
      <w:outlineLvl w:val="4"/>
    </w:pPr>
  </w:style>
  <w:style w:type="paragraph" w:customStyle="1" w:styleId="47">
    <w:name w:val="二级条标题"/>
    <w:basedOn w:val="48"/>
    <w:next w:val="20"/>
    <w:qFormat/>
    <w:uiPriority w:val="0"/>
    <w:pPr>
      <w:numPr>
        <w:ilvl w:val="2"/>
        <w:numId w:val="4"/>
      </w:numPr>
      <w:spacing w:before="50" w:after="50"/>
      <w:outlineLvl w:val="3"/>
    </w:pPr>
  </w:style>
  <w:style w:type="paragraph" w:customStyle="1" w:styleId="48">
    <w:name w:val="一级条标题"/>
    <w:next w:val="20"/>
    <w:link w:val="132"/>
    <w:qFormat/>
    <w:uiPriority w:val="0"/>
    <w:pPr>
      <w:numPr>
        <w:ilvl w:val="1"/>
        <w:numId w:val="4"/>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0">
    <w:name w:val="数字编号列项（二级）"/>
    <w:qFormat/>
    <w:uiPriority w:val="0"/>
    <w:pPr>
      <w:numPr>
        <w:ilvl w:val="1"/>
        <w:numId w:val="6"/>
      </w:numPr>
      <w:jc w:val="both"/>
    </w:pPr>
    <w:rPr>
      <w:rFonts w:ascii="宋体" w:hAnsi="Times New Roman" w:eastAsia="宋体" w:cs="Times New Roman"/>
      <w:sz w:val="21"/>
      <w:lang w:val="en-US" w:eastAsia="zh-CN" w:bidi="ar-SA"/>
    </w:rPr>
  </w:style>
  <w:style w:type="paragraph" w:customStyle="1" w:styleId="5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2">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3">
    <w:name w:val="参考文献"/>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5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5">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56">
    <w:name w:val="标准书眉_偶数页"/>
    <w:basedOn w:val="39"/>
    <w:next w:val="1"/>
    <w:qFormat/>
    <w:uiPriority w:val="0"/>
    <w:pPr>
      <w:jc w:val="left"/>
    </w:pPr>
    <w:rPr>
      <w:rFonts w:ascii="黑体" w:eastAsia="黑体"/>
    </w:rPr>
  </w:style>
  <w:style w:type="paragraph" w:customStyle="1" w:styleId="57">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58">
    <w:name w:val="五级条标题"/>
    <w:basedOn w:val="45"/>
    <w:next w:val="20"/>
    <w:qFormat/>
    <w:uiPriority w:val="0"/>
    <w:pPr>
      <w:numPr>
        <w:ilvl w:val="5"/>
        <w:numId w:val="4"/>
      </w:numPr>
      <w:outlineLvl w:val="6"/>
    </w:pPr>
  </w:style>
  <w:style w:type="paragraph" w:customStyle="1" w:styleId="59">
    <w:name w:val="注：（正文）"/>
    <w:basedOn w:val="60"/>
    <w:next w:val="20"/>
    <w:qFormat/>
    <w:uiPriority w:val="0"/>
  </w:style>
  <w:style w:type="paragraph" w:customStyle="1" w:styleId="60">
    <w:name w:val="注："/>
    <w:next w:val="20"/>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61">
    <w:name w:val="示例×："/>
    <w:basedOn w:val="38"/>
    <w:qFormat/>
    <w:uiPriority w:val="0"/>
    <w:pPr>
      <w:numPr>
        <w:ilvl w:val="0"/>
        <w:numId w:val="9"/>
      </w:numPr>
      <w:spacing w:before="0" w:beforeLines="0" w:after="0" w:afterLines="0"/>
      <w:outlineLvl w:val="9"/>
    </w:pPr>
    <w:rPr>
      <w:rFonts w:ascii="宋体" w:eastAsia="宋体"/>
      <w:sz w:val="18"/>
      <w:szCs w:val="18"/>
    </w:rPr>
  </w:style>
  <w:style w:type="paragraph" w:customStyle="1" w:styleId="62">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3">
    <w:name w:val="编号列项（三级）"/>
    <w:qFormat/>
    <w:uiPriority w:val="0"/>
    <w:pPr>
      <w:numPr>
        <w:ilvl w:val="2"/>
        <w:numId w:val="6"/>
      </w:numPr>
    </w:pPr>
    <w:rPr>
      <w:rFonts w:ascii="宋体" w:hAnsi="Times New Roman" w:eastAsia="宋体" w:cs="Times New Roman"/>
      <w:sz w:val="21"/>
      <w:lang w:val="en-US" w:eastAsia="zh-CN" w:bidi="ar-SA"/>
    </w:rPr>
  </w:style>
  <w:style w:type="paragraph" w:customStyle="1" w:styleId="64">
    <w:name w:val="条文脚注"/>
    <w:basedOn w:val="21"/>
    <w:qFormat/>
    <w:uiPriority w:val="0"/>
    <w:pPr>
      <w:numPr>
        <w:ilvl w:val="0"/>
        <w:numId w:val="0"/>
      </w:numPr>
      <w:jc w:val="both"/>
    </w:pPr>
    <w:rPr>
      <w:rFonts w:ascii="宋体"/>
    </w:rPr>
  </w:style>
  <w:style w:type="paragraph" w:customStyle="1" w:styleId="65">
    <w:name w:val="列项◆（三级）"/>
    <w:basedOn w:val="1"/>
    <w:qFormat/>
    <w:uiPriority w:val="0"/>
    <w:pPr>
      <w:numPr>
        <w:ilvl w:val="2"/>
        <w:numId w:val="7"/>
      </w:numPr>
    </w:pPr>
    <w:rPr>
      <w:rFonts w:ascii="宋体"/>
      <w:szCs w:val="21"/>
    </w:rPr>
  </w:style>
  <w:style w:type="paragraph" w:customStyle="1" w:styleId="66">
    <w:name w:val="注×："/>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6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二级无"/>
    <w:basedOn w:val="47"/>
    <w:qFormat/>
    <w:uiPriority w:val="0"/>
    <w:pPr>
      <w:spacing w:before="0" w:beforeLines="0" w:after="0" w:afterLines="0"/>
      <w:ind w:left="0" w:firstLine="0"/>
    </w:pPr>
    <w:rPr>
      <w:rFonts w:ascii="宋体" w:eastAsia="宋体"/>
    </w:rPr>
  </w:style>
  <w:style w:type="paragraph" w:customStyle="1" w:styleId="69">
    <w:name w:val="首示例"/>
    <w:next w:val="20"/>
    <w:link w:val="128"/>
    <w:qFormat/>
    <w:uiPriority w:val="0"/>
    <w:pPr>
      <w:numPr>
        <w:ilvl w:val="0"/>
        <w:numId w:val="12"/>
      </w:numPr>
      <w:tabs>
        <w:tab w:val="left" w:pos="360"/>
      </w:tabs>
      <w:ind w:firstLine="0"/>
    </w:pPr>
    <w:rPr>
      <w:rFonts w:ascii="宋体" w:hAnsi="宋体" w:eastAsia="宋体" w:cs="Times New Roman"/>
      <w:kern w:val="2"/>
      <w:sz w:val="18"/>
      <w:szCs w:val="18"/>
      <w:lang w:val="en-US" w:eastAsia="zh-CN" w:bidi="ar-SA"/>
    </w:rPr>
  </w:style>
  <w:style w:type="paragraph" w:customStyle="1" w:styleId="70">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71">
    <w:name w:val="参考文献、索引标题"/>
    <w:basedOn w:val="1"/>
    <w:next w:val="2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发布部门"/>
    <w:next w:val="2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74">
    <w:name w:val="附录表标题"/>
    <w:basedOn w:val="1"/>
    <w:next w:val="20"/>
    <w:qFormat/>
    <w:uiPriority w:val="0"/>
    <w:pPr>
      <w:numPr>
        <w:ilvl w:val="1"/>
        <w:numId w:val="13"/>
      </w:numPr>
      <w:tabs>
        <w:tab w:val="left" w:pos="180"/>
      </w:tabs>
      <w:spacing w:before="50" w:beforeLines="50" w:after="50" w:afterLines="50"/>
      <w:ind w:left="0" w:firstLine="0"/>
      <w:jc w:val="center"/>
    </w:pPr>
    <w:rPr>
      <w:rFonts w:ascii="黑体" w:eastAsia="黑体"/>
      <w:szCs w:val="21"/>
    </w:rPr>
  </w:style>
  <w:style w:type="paragraph" w:customStyle="1" w:styleId="75">
    <w:name w:val="封面一致性程度标识"/>
    <w:basedOn w:val="76"/>
    <w:qFormat/>
    <w:uiPriority w:val="0"/>
    <w:pPr>
      <w:spacing w:before="440"/>
    </w:pPr>
    <w:rPr>
      <w:rFonts w:ascii="宋体" w:eastAsia="宋体"/>
    </w:rPr>
  </w:style>
  <w:style w:type="paragraph" w:customStyle="1" w:styleId="76">
    <w:name w:val="封面标准英文名称"/>
    <w:basedOn w:val="77"/>
    <w:qFormat/>
    <w:uiPriority w:val="0"/>
    <w:pPr>
      <w:spacing w:before="370" w:line="400" w:lineRule="exact"/>
    </w:pPr>
    <w:rPr>
      <w:rFonts w:ascii="Times New Roman"/>
      <w:sz w:val="28"/>
      <w:szCs w:val="28"/>
    </w:rPr>
  </w:style>
  <w:style w:type="paragraph" w:customStyle="1" w:styleId="7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附录公式编号制表符"/>
    <w:basedOn w:val="1"/>
    <w:next w:val="20"/>
    <w:qFormat/>
    <w:uiPriority w:val="0"/>
    <w:pPr>
      <w:widowControl/>
      <w:tabs>
        <w:tab w:val="center" w:pos="4201"/>
        <w:tab w:val="right" w:leader="dot" w:pos="9298"/>
      </w:tabs>
      <w:autoSpaceDE w:val="0"/>
      <w:autoSpaceDN w:val="0"/>
    </w:pPr>
    <w:rPr>
      <w:rFonts w:ascii="宋体"/>
      <w:kern w:val="0"/>
      <w:szCs w:val="20"/>
    </w:rPr>
  </w:style>
  <w:style w:type="paragraph" w:customStyle="1" w:styleId="80">
    <w:name w:val="封面标准文稿编辑信息"/>
    <w:basedOn w:val="81"/>
    <w:qFormat/>
    <w:uiPriority w:val="0"/>
    <w:pPr>
      <w:spacing w:before="180" w:line="180" w:lineRule="exact"/>
    </w:pPr>
    <w:rPr>
      <w:sz w:val="21"/>
    </w:rPr>
  </w:style>
  <w:style w:type="paragraph" w:customStyle="1" w:styleId="81">
    <w:name w:val="封面标准文稿类别"/>
    <w:basedOn w:val="75"/>
    <w:qFormat/>
    <w:uiPriority w:val="0"/>
    <w:pPr>
      <w:spacing w:after="160" w:line="240" w:lineRule="auto"/>
    </w:pPr>
    <w:rPr>
      <w:sz w:val="24"/>
    </w:rPr>
  </w:style>
  <w:style w:type="paragraph" w:customStyle="1" w:styleId="8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4">
    <w:name w:val="附录二级无"/>
    <w:basedOn w:val="85"/>
    <w:qFormat/>
    <w:uiPriority w:val="0"/>
    <w:pPr>
      <w:tabs>
        <w:tab w:val="left" w:pos="360"/>
      </w:tabs>
      <w:spacing w:before="0" w:beforeLines="0" w:after="0" w:afterLines="0"/>
    </w:pPr>
    <w:rPr>
      <w:rFonts w:ascii="宋体" w:eastAsia="宋体"/>
      <w:szCs w:val="21"/>
    </w:rPr>
  </w:style>
  <w:style w:type="paragraph" w:customStyle="1" w:styleId="85">
    <w:name w:val="附录二级条标题"/>
    <w:basedOn w:val="1"/>
    <w:next w:val="20"/>
    <w:qFormat/>
    <w:uiPriority w:val="0"/>
    <w:pPr>
      <w:widowControl/>
      <w:numPr>
        <w:ilvl w:val="3"/>
        <w:numId w:val="14"/>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6">
    <w:name w:val="附录表标号"/>
    <w:basedOn w:val="1"/>
    <w:next w:val="20"/>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87">
    <w:name w:val="其他发布部门"/>
    <w:basedOn w:val="72"/>
    <w:qFormat/>
    <w:uiPriority w:val="0"/>
    <w:pPr>
      <w:framePr w:y="15310"/>
      <w:spacing w:line="0" w:lineRule="atLeast"/>
    </w:pPr>
    <w:rPr>
      <w:rFonts w:ascii="黑体" w:eastAsia="黑体"/>
      <w:b w:val="0"/>
    </w:rPr>
  </w:style>
  <w:style w:type="paragraph" w:customStyle="1" w:styleId="88">
    <w:name w:val="封面正文"/>
    <w:qFormat/>
    <w:uiPriority w:val="0"/>
    <w:pPr>
      <w:jc w:val="both"/>
    </w:pPr>
    <w:rPr>
      <w:rFonts w:ascii="Times New Roman" w:hAnsi="Times New Roman" w:eastAsia="宋体" w:cs="Times New Roman"/>
      <w:lang w:val="en-US" w:eastAsia="zh-CN" w:bidi="ar-SA"/>
    </w:rPr>
  </w:style>
  <w:style w:type="paragraph" w:customStyle="1" w:styleId="89">
    <w:name w:val="附录标识"/>
    <w:basedOn w:val="1"/>
    <w:next w:val="20"/>
    <w:qFormat/>
    <w:uiPriority w:val="0"/>
    <w:pPr>
      <w:keepNext/>
      <w:widowControl/>
      <w:numPr>
        <w:ilvl w:val="0"/>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0">
    <w:name w:val="附录标题"/>
    <w:basedOn w:val="20"/>
    <w:next w:val="20"/>
    <w:qFormat/>
    <w:uiPriority w:val="0"/>
    <w:pPr>
      <w:ind w:firstLine="0" w:firstLineChars="0"/>
      <w:jc w:val="center"/>
    </w:pPr>
    <w:rPr>
      <w:rFonts w:ascii="黑体" w:eastAsia="黑体"/>
    </w:rPr>
  </w:style>
  <w:style w:type="paragraph" w:customStyle="1" w:styleId="91">
    <w:name w:val="附录公式"/>
    <w:basedOn w:val="20"/>
    <w:next w:val="20"/>
    <w:link w:val="131"/>
    <w:qFormat/>
    <w:uiPriority w:val="0"/>
  </w:style>
  <w:style w:type="paragraph" w:customStyle="1" w:styleId="92">
    <w:name w:val="附录三级条标题"/>
    <w:basedOn w:val="85"/>
    <w:next w:val="20"/>
    <w:qFormat/>
    <w:uiPriority w:val="0"/>
    <w:pPr>
      <w:numPr>
        <w:ilvl w:val="4"/>
        <w:numId w:val="14"/>
      </w:numPr>
      <w:outlineLvl w:val="4"/>
    </w:pPr>
  </w:style>
  <w:style w:type="paragraph" w:customStyle="1" w:styleId="93">
    <w:name w:val="附录三级无"/>
    <w:basedOn w:val="92"/>
    <w:qFormat/>
    <w:uiPriority w:val="0"/>
    <w:pPr>
      <w:tabs>
        <w:tab w:val="clear" w:pos="360"/>
      </w:tabs>
      <w:spacing w:before="0" w:beforeLines="0" w:after="0" w:afterLines="0"/>
    </w:pPr>
    <w:rPr>
      <w:rFonts w:ascii="宋体" w:eastAsia="宋体"/>
      <w:szCs w:val="21"/>
    </w:rPr>
  </w:style>
  <w:style w:type="paragraph" w:customStyle="1" w:styleId="94">
    <w:name w:val="附录数字编号列项（二级）"/>
    <w:qFormat/>
    <w:uiPriority w:val="0"/>
    <w:pPr>
      <w:numPr>
        <w:ilvl w:val="1"/>
        <w:numId w:val="15"/>
      </w:numPr>
    </w:pPr>
    <w:rPr>
      <w:rFonts w:ascii="宋体" w:hAnsi="Times New Roman" w:eastAsia="宋体" w:cs="Times New Roman"/>
      <w:sz w:val="21"/>
      <w:lang w:val="en-US" w:eastAsia="zh-CN" w:bidi="ar-SA"/>
    </w:rPr>
  </w:style>
  <w:style w:type="paragraph" w:customStyle="1" w:styleId="95">
    <w:name w:val="附录四级条标题"/>
    <w:basedOn w:val="92"/>
    <w:next w:val="20"/>
    <w:qFormat/>
    <w:uiPriority w:val="0"/>
    <w:pPr>
      <w:numPr>
        <w:ilvl w:val="5"/>
        <w:numId w:val="14"/>
      </w:numPr>
      <w:outlineLvl w:val="5"/>
    </w:pPr>
  </w:style>
  <w:style w:type="paragraph" w:customStyle="1" w:styleId="96">
    <w:name w:val="三级无"/>
    <w:basedOn w:val="46"/>
    <w:qFormat/>
    <w:uiPriority w:val="0"/>
    <w:pPr>
      <w:spacing w:before="0" w:beforeLines="0" w:after="0" w:afterLines="0"/>
    </w:pPr>
    <w:rPr>
      <w:rFonts w:ascii="宋体" w:eastAsia="宋体"/>
    </w:rPr>
  </w:style>
  <w:style w:type="paragraph" w:customStyle="1" w:styleId="9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8">
    <w:name w:val="附录四级无"/>
    <w:basedOn w:val="95"/>
    <w:qFormat/>
    <w:uiPriority w:val="0"/>
    <w:pPr>
      <w:tabs>
        <w:tab w:val="clear" w:pos="360"/>
      </w:tabs>
      <w:spacing w:before="0" w:beforeLines="0" w:after="0" w:afterLines="0"/>
    </w:pPr>
    <w:rPr>
      <w:rFonts w:ascii="宋体" w:eastAsia="宋体"/>
      <w:szCs w:val="21"/>
    </w:rPr>
  </w:style>
  <w:style w:type="paragraph" w:customStyle="1" w:styleId="99">
    <w:name w:val="示例后文字"/>
    <w:basedOn w:val="20"/>
    <w:next w:val="20"/>
    <w:qFormat/>
    <w:uiPriority w:val="0"/>
    <w:pPr>
      <w:ind w:firstLine="360"/>
    </w:pPr>
    <w:rPr>
      <w:sz w:val="18"/>
    </w:rPr>
  </w:style>
  <w:style w:type="paragraph" w:customStyle="1" w:styleId="100">
    <w:name w:val="附录图标号"/>
    <w:basedOn w:val="1"/>
    <w:qFormat/>
    <w:uiPriority w:val="0"/>
    <w:pPr>
      <w:keepNext/>
      <w:pageBreakBefore/>
      <w:widowControl/>
      <w:numPr>
        <w:ilvl w:val="0"/>
        <w:numId w:val="16"/>
      </w:numPr>
      <w:spacing w:line="14" w:lineRule="exact"/>
      <w:ind w:left="0" w:firstLine="363"/>
      <w:jc w:val="center"/>
      <w:outlineLvl w:val="0"/>
    </w:pPr>
    <w:rPr>
      <w:color w:val="FFFFFF"/>
    </w:rPr>
  </w:style>
  <w:style w:type="paragraph" w:customStyle="1" w:styleId="101">
    <w:name w:val="附录字母编号列项（一级）"/>
    <w:qFormat/>
    <w:uiPriority w:val="0"/>
    <w:pPr>
      <w:numPr>
        <w:ilvl w:val="0"/>
        <w:numId w:val="15"/>
      </w:numPr>
    </w:pPr>
    <w:rPr>
      <w:rFonts w:ascii="宋体" w:hAnsi="Times New Roman" w:eastAsia="宋体" w:cs="Times New Roman"/>
      <w:sz w:val="21"/>
      <w:lang w:val="en-US" w:eastAsia="zh-CN" w:bidi="ar-SA"/>
    </w:rPr>
  </w:style>
  <w:style w:type="paragraph" w:customStyle="1" w:styleId="102">
    <w:name w:val="附录图标题"/>
    <w:basedOn w:val="1"/>
    <w:next w:val="20"/>
    <w:qFormat/>
    <w:uiPriority w:val="0"/>
    <w:pPr>
      <w:numPr>
        <w:ilvl w:val="1"/>
        <w:numId w:val="16"/>
      </w:numPr>
      <w:tabs>
        <w:tab w:val="left" w:pos="363"/>
      </w:tabs>
      <w:spacing w:before="50" w:beforeLines="50" w:after="50" w:afterLines="50"/>
      <w:ind w:left="0" w:firstLine="0"/>
      <w:jc w:val="center"/>
    </w:pPr>
    <w:rPr>
      <w:rFonts w:ascii="黑体" w:eastAsia="黑体"/>
      <w:szCs w:val="21"/>
    </w:rPr>
  </w:style>
  <w:style w:type="paragraph" w:customStyle="1" w:styleId="103">
    <w:name w:val="附录五级条标题"/>
    <w:basedOn w:val="95"/>
    <w:next w:val="20"/>
    <w:qFormat/>
    <w:uiPriority w:val="0"/>
    <w:pPr>
      <w:numPr>
        <w:ilvl w:val="6"/>
        <w:numId w:val="14"/>
      </w:numPr>
      <w:outlineLvl w:val="6"/>
    </w:pPr>
  </w:style>
  <w:style w:type="paragraph" w:customStyle="1" w:styleId="104">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5">
    <w:name w:val="附录五级无"/>
    <w:basedOn w:val="103"/>
    <w:qFormat/>
    <w:uiPriority w:val="0"/>
    <w:pPr>
      <w:tabs>
        <w:tab w:val="clear" w:pos="360"/>
      </w:tabs>
      <w:spacing w:before="0" w:beforeLines="0" w:after="0" w:afterLines="0"/>
    </w:pPr>
    <w:rPr>
      <w:rFonts w:ascii="宋体" w:eastAsia="宋体"/>
      <w:szCs w:val="21"/>
    </w:rPr>
  </w:style>
  <w:style w:type="paragraph" w:customStyle="1" w:styleId="106">
    <w:name w:val="附录章标题"/>
    <w:next w:val="20"/>
    <w:qFormat/>
    <w:uiPriority w:val="0"/>
    <w:pPr>
      <w:numPr>
        <w:ilvl w:val="1"/>
        <w:numId w:val="1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7">
    <w:name w:val="其他标准标志"/>
    <w:basedOn w:val="43"/>
    <w:qFormat/>
    <w:uiPriority w:val="0"/>
    <w:pPr>
      <w:framePr w:w="6101" w:vAnchor="page" w:hAnchor="page" w:x="4673" w:y="942"/>
    </w:pPr>
    <w:rPr>
      <w:w w:val="130"/>
    </w:rPr>
  </w:style>
  <w:style w:type="paragraph" w:customStyle="1" w:styleId="108">
    <w:name w:val="附录一级条标题"/>
    <w:basedOn w:val="106"/>
    <w:next w:val="20"/>
    <w:qFormat/>
    <w:uiPriority w:val="0"/>
    <w:pPr>
      <w:numPr>
        <w:ilvl w:val="2"/>
        <w:numId w:val="14"/>
      </w:numPr>
      <w:autoSpaceDN w:val="0"/>
      <w:spacing w:before="50" w:beforeLines="50" w:after="50" w:afterLines="50"/>
      <w:outlineLvl w:val="2"/>
    </w:pPr>
  </w:style>
  <w:style w:type="paragraph" w:customStyle="1" w:styleId="109">
    <w:name w:val="附录一级无"/>
    <w:basedOn w:val="108"/>
    <w:qFormat/>
    <w:uiPriority w:val="0"/>
    <w:pPr>
      <w:tabs>
        <w:tab w:val="clear" w:pos="360"/>
      </w:tabs>
      <w:spacing w:before="0" w:beforeLines="0" w:after="0" w:afterLines="0"/>
    </w:pPr>
    <w:rPr>
      <w:rFonts w:ascii="宋体" w:eastAsia="宋体"/>
      <w:szCs w:val="21"/>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实施日期"/>
    <w:basedOn w:val="78"/>
    <w:qFormat/>
    <w:uiPriority w:val="0"/>
    <w:pPr>
      <w:framePr w:vAnchor="page" w:hAnchor="page"/>
      <w:jc w:val="right"/>
    </w:pPr>
  </w:style>
  <w:style w:type="paragraph" w:customStyle="1" w:styleId="113">
    <w:name w:val="图标脚注说明"/>
    <w:basedOn w:val="20"/>
    <w:qFormat/>
    <w:uiPriority w:val="0"/>
    <w:pPr>
      <w:ind w:left="840" w:hanging="420" w:firstLineChars="0"/>
    </w:pPr>
    <w:rPr>
      <w:sz w:val="18"/>
      <w:szCs w:val="18"/>
    </w:rPr>
  </w:style>
  <w:style w:type="paragraph" w:customStyle="1" w:styleId="114">
    <w:name w:val="图的脚注"/>
    <w:next w:val="2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5">
    <w:name w:val="终结线"/>
    <w:basedOn w:val="1"/>
    <w:qFormat/>
    <w:uiPriority w:val="0"/>
    <w:pPr>
      <w:framePr w:hSpace="181" w:vSpace="181" w:wrap="around" w:vAnchor="text" w:hAnchor="margin" w:xAlign="center" w:y="285"/>
    </w:pPr>
  </w:style>
  <w:style w:type="paragraph" w:customStyle="1" w:styleId="11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7">
    <w:name w:val="五级无"/>
    <w:basedOn w:val="58"/>
    <w:qFormat/>
    <w:uiPriority w:val="0"/>
    <w:pPr>
      <w:spacing w:before="0" w:beforeLines="0" w:after="0" w:afterLines="0"/>
    </w:pPr>
    <w:rPr>
      <w:rFonts w:ascii="宋体" w:eastAsia="宋体"/>
    </w:rPr>
  </w:style>
  <w:style w:type="paragraph" w:customStyle="1" w:styleId="118">
    <w:name w:val="一级无"/>
    <w:basedOn w:val="48"/>
    <w:qFormat/>
    <w:uiPriority w:val="0"/>
    <w:pPr>
      <w:spacing w:before="0" w:beforeLines="0" w:after="0" w:afterLines="0"/>
    </w:pPr>
    <w:rPr>
      <w:rFonts w:ascii="宋体" w:eastAsia="宋体"/>
    </w:rPr>
  </w:style>
  <w:style w:type="paragraph" w:customStyle="1" w:styleId="119">
    <w:name w:val="其他发布日期"/>
    <w:basedOn w:val="78"/>
    <w:qFormat/>
    <w:uiPriority w:val="0"/>
    <w:pPr>
      <w:framePr w:vAnchor="page" w:hAnchor="page" w:x="1419"/>
    </w:pPr>
  </w:style>
  <w:style w:type="paragraph" w:customStyle="1" w:styleId="120">
    <w:name w:val="正文表标题"/>
    <w:next w:val="20"/>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1">
    <w:name w:val="正文公式编号制表符"/>
    <w:basedOn w:val="20"/>
    <w:next w:val="20"/>
    <w:qFormat/>
    <w:uiPriority w:val="0"/>
    <w:pPr>
      <w:ind w:firstLine="0" w:firstLineChars="0"/>
    </w:pPr>
  </w:style>
  <w:style w:type="paragraph" w:customStyle="1" w:styleId="122">
    <w:name w:val="其他实施日期"/>
    <w:basedOn w:val="112"/>
    <w:qFormat/>
    <w:uiPriority w:val="0"/>
  </w:style>
  <w:style w:type="paragraph" w:customStyle="1" w:styleId="123">
    <w:name w:val="封面标准名称2"/>
    <w:basedOn w:val="77"/>
    <w:qFormat/>
    <w:uiPriority w:val="0"/>
    <w:pPr>
      <w:framePr w:y="4469"/>
      <w:spacing w:before="630" w:beforeLines="630"/>
    </w:pPr>
  </w:style>
  <w:style w:type="paragraph" w:customStyle="1" w:styleId="124">
    <w:name w:val="封面标准英文名称2"/>
    <w:basedOn w:val="76"/>
    <w:qFormat/>
    <w:uiPriority w:val="0"/>
    <w:pPr>
      <w:framePr w:y="4469"/>
    </w:pPr>
  </w:style>
  <w:style w:type="paragraph" w:customStyle="1" w:styleId="125">
    <w:name w:val="封面一致性程度标识2"/>
    <w:basedOn w:val="75"/>
    <w:qFormat/>
    <w:uiPriority w:val="0"/>
    <w:pPr>
      <w:framePr w:y="4469"/>
    </w:pPr>
  </w:style>
  <w:style w:type="paragraph" w:customStyle="1" w:styleId="126">
    <w:name w:val="封面标准文稿类别2"/>
    <w:basedOn w:val="81"/>
    <w:qFormat/>
    <w:uiPriority w:val="0"/>
    <w:pPr>
      <w:framePr w:y="4469"/>
    </w:pPr>
  </w:style>
  <w:style w:type="paragraph" w:customStyle="1" w:styleId="127">
    <w:name w:val="封面标准文稿编辑信息2"/>
    <w:basedOn w:val="80"/>
    <w:qFormat/>
    <w:uiPriority w:val="0"/>
    <w:pPr>
      <w:framePr w:y="4469"/>
    </w:pPr>
  </w:style>
  <w:style w:type="character" w:customStyle="1" w:styleId="128">
    <w:name w:val="首示例 Char"/>
    <w:basedOn w:val="30"/>
    <w:link w:val="69"/>
    <w:qFormat/>
    <w:uiPriority w:val="0"/>
    <w:rPr>
      <w:rFonts w:ascii="宋体" w:hAnsi="宋体"/>
      <w:kern w:val="2"/>
      <w:sz w:val="18"/>
      <w:szCs w:val="18"/>
      <w:lang w:val="en-US" w:eastAsia="zh-CN" w:bidi="ar-SA"/>
    </w:rPr>
  </w:style>
  <w:style w:type="character" w:customStyle="1" w:styleId="129">
    <w:name w:val="段 Char"/>
    <w:basedOn w:val="30"/>
    <w:link w:val="20"/>
    <w:qFormat/>
    <w:uiPriority w:val="0"/>
    <w:rPr>
      <w:rFonts w:ascii="宋体"/>
      <w:sz w:val="21"/>
      <w:lang w:val="en-US" w:eastAsia="zh-CN" w:bidi="ar-SA"/>
    </w:rPr>
  </w:style>
  <w:style w:type="character" w:customStyle="1" w:styleId="130">
    <w:name w:val="发布"/>
    <w:basedOn w:val="30"/>
    <w:qFormat/>
    <w:uiPriority w:val="0"/>
    <w:rPr>
      <w:rFonts w:ascii="黑体" w:eastAsia="黑体"/>
      <w:spacing w:val="85"/>
      <w:w w:val="100"/>
      <w:position w:val="3"/>
      <w:sz w:val="28"/>
      <w:szCs w:val="28"/>
    </w:rPr>
  </w:style>
  <w:style w:type="character" w:customStyle="1" w:styleId="131">
    <w:name w:val="附录公式 Char"/>
    <w:basedOn w:val="129"/>
    <w:link w:val="91"/>
    <w:qFormat/>
    <w:uiPriority w:val="0"/>
  </w:style>
  <w:style w:type="character" w:customStyle="1" w:styleId="132">
    <w:name w:val="一级条标题 Char"/>
    <w:link w:val="48"/>
    <w:qFormat/>
    <w:uiPriority w:val="0"/>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F\Desktop\&#39135;&#21697;&#23433;&#20840;&#19987;&#39033;&#34892;&#21160;&#24037;&#20316;&#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食品安全专项行动工作规范.dot</Template>
  <Pages>11</Pages>
  <Words>4601</Words>
  <Characters>5023</Characters>
  <Lines>3</Lines>
  <Paragraphs>4</Paragraphs>
  <TotalTime>1</TotalTime>
  <ScaleCrop>false</ScaleCrop>
  <LinksUpToDate>false</LinksUpToDate>
  <CharactersWithSpaces>5269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2023-11-10T00:37:00Z</dcterms:created>
  <cp:lastPrinted>2024-08-15T07:26:00Z</cp:lastPrinted>
  <dcterms:modified xsi:type="dcterms:W3CDTF">2024-09-06T04:43:41Z</dcterms:modified>
  <dc:title>标准名称</dc:title>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670CC0D3E6C14C388CFA86E29085C2E5</vt:lpwstr>
  </property>
</Properties>
</file>